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FFBA4">
      <w:pPr>
        <w:spacing w:after="125" w:line="259" w:lineRule="auto"/>
        <w:ind w:left="0" w:firstLine="0"/>
        <w:jc w:val="right"/>
      </w:pPr>
      <w:bookmarkStart w:id="0" w:name="_GoBack"/>
      <w:bookmarkEnd w:id="0"/>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column">
                  <wp:posOffset>-45085</wp:posOffset>
                </wp:positionH>
                <wp:positionV relativeFrom="paragraph">
                  <wp:posOffset>47625</wp:posOffset>
                </wp:positionV>
                <wp:extent cx="2176145" cy="627380"/>
                <wp:effectExtent l="0" t="0" r="0" b="0"/>
                <wp:wrapSquare wrapText="bothSides"/>
                <wp:docPr id="23061" name="Group 23061"/>
                <wp:cNvGraphicFramePr/>
                <a:graphic xmlns:a="http://schemas.openxmlformats.org/drawingml/2006/main">
                  <a:graphicData uri="http://schemas.microsoft.com/office/word/2010/wordprocessingGroup">
                    <wpg:wgp>
                      <wpg:cNvGrpSpPr/>
                      <wpg:grpSpPr>
                        <a:xfrm>
                          <a:off x="0" y="0"/>
                          <a:ext cx="2176399" cy="627380"/>
                          <a:chOff x="0" y="0"/>
                          <a:chExt cx="2176399" cy="627380"/>
                        </a:xfrm>
                      </wpg:grpSpPr>
                      <wps:wsp>
                        <wps:cNvPr id="6" name="Rectangle 6"/>
                        <wps:cNvSpPr/>
                        <wps:spPr>
                          <a:xfrm>
                            <a:off x="45593" y="197772"/>
                            <a:ext cx="42517" cy="175004"/>
                          </a:xfrm>
                          <a:prstGeom prst="rect">
                            <a:avLst/>
                          </a:prstGeom>
                          <a:ln>
                            <a:noFill/>
                          </a:ln>
                        </wps:spPr>
                        <wps:txbx>
                          <w:txbxContent>
                            <w:p w14:paraId="54950CE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12"/>
                          <a:stretch>
                            <a:fillRect/>
                          </a:stretch>
                        </pic:blipFill>
                        <pic:spPr>
                          <a:xfrm>
                            <a:off x="0" y="0"/>
                            <a:ext cx="2176399" cy="627380"/>
                          </a:xfrm>
                          <a:prstGeom prst="rect">
                            <a:avLst/>
                          </a:prstGeom>
                        </pic:spPr>
                      </pic:pic>
                    </wpg:wgp>
                  </a:graphicData>
                </a:graphic>
              </wp:anchor>
            </w:drawing>
          </mc:Choice>
          <mc:Fallback>
            <w:pict>
              <v:group id="_x0000_s1026" o:spid="_x0000_s1026" o:spt="203" style="position:absolute;left:0pt;margin-left:-3.55pt;margin-top:3.75pt;height:49.4pt;width:171.35pt;mso-wrap-distance-bottom:0pt;mso-wrap-distance-left:9pt;mso-wrap-distance-right:9pt;mso-wrap-distance-top:0pt;z-index:251659264;mso-width-relative:page;mso-height-relative:page;" coordsize="2176399,627380" o:gfxdata="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">
                <o:lock v:ext="edit" aspectratio="f"/>
                <v:rect id="_x0000_s1026" o:spid="_x0000_s1026" o:spt="1" style="position:absolute;left:45593;top:197772;height:175004;width:42517;"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950CE8">
                        <w:pPr>
                          <w:spacing w:after="160" w:line="259" w:lineRule="auto"/>
                          <w:ind w:left="0" w:firstLine="0"/>
                          <w:jc w:val="left"/>
                        </w:pPr>
                        <w:r>
                          <w:t xml:space="preserve"> </w:t>
                        </w:r>
                      </w:p>
                    </w:txbxContent>
                  </v:textbox>
                </v:rect>
                <v:shape id="_x0000_s1026" o:spid="_x0000_s1026" o:spt="75" type="#_x0000_t75" style="position:absolute;left:0;top:0;height:627380;width:2176399;" filled="f" o:preferrelative="t" stroked="f" coordsize="21600,21600" o:gfxdata="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Bzga5AAAA2wAA&#10;AA8AAAAAAAAAAQAgAAAAIgAAAGRycy9kb3ducmV2LnhtbFBLAQIUABQAAAAIAIdO4kAzLwWeOwAA&#10;ADkAAAAQAAAAAAAAAAEAIAAAAAgBAABkcnMvc2hhcGV4bWwueG1sUEsFBgAAAAAGAAYAWwEAALID&#10;AAAAAA==&#10;">
                  <v:fill on="f" focussize="0,0"/>
                  <v:stroke on="f"/>
                  <v:imagedata r:id="rId12" o:title=""/>
                  <o:lock v:ext="edit" aspectratio="f"/>
                </v:shape>
                <w10:wrap type="square"/>
              </v:group>
            </w:pict>
          </mc:Fallback>
        </mc:AlternateContent>
      </w:r>
      <w:r>
        <w:rPr>
          <w:rFonts w:ascii="Calibri" w:hAnsi="Calibri" w:eastAsia="Calibri" w:cs="Calibri"/>
        </w:rPr>
        <w:t xml:space="preserve"> </w:t>
      </w:r>
    </w:p>
    <w:p w14:paraId="4F25A99B">
      <w:pPr>
        <w:tabs>
          <w:tab w:val="center" w:pos="4537"/>
          <w:tab w:val="center" w:pos="8704"/>
        </w:tabs>
        <w:spacing w:after="652" w:line="259" w:lineRule="auto"/>
        <w:ind w:left="0" w:firstLine="0"/>
        <w:jc w:val="left"/>
      </w:pPr>
      <w:r>
        <w:rPr>
          <w:rFonts w:ascii="Calibri" w:hAnsi="Calibri" w:eastAsia="Calibri" w:cs="Calibri"/>
        </w:rPr>
        <w:tab/>
      </w:r>
      <w:r>
        <w:t xml:space="preserve"> </w:t>
      </w:r>
      <w:r>
        <w:tab/>
      </w:r>
      <w:r>
        <w:rPr>
          <w:sz w:val="20"/>
        </w:rPr>
        <w:t xml:space="preserve">INTERNAL </w:t>
      </w:r>
    </w:p>
    <w:p w14:paraId="72E86FC7">
      <w:pPr>
        <w:spacing w:after="139" w:line="259" w:lineRule="auto"/>
        <w:ind w:left="0" w:firstLine="0"/>
        <w:jc w:val="left"/>
      </w:pPr>
      <w:r>
        <w:rPr>
          <w:b/>
          <w:sz w:val="24"/>
        </w:rPr>
        <w:t xml:space="preserve"> </w:t>
      </w:r>
    </w:p>
    <w:p w14:paraId="5A1528A4">
      <w:pPr>
        <w:spacing w:after="2" w:line="378" w:lineRule="auto"/>
        <w:ind w:left="0" w:right="10366" w:firstLine="0"/>
        <w:jc w:val="left"/>
      </w:pPr>
      <w:r>
        <w:rPr>
          <w:b/>
          <w:sz w:val="24"/>
        </w:rPr>
        <w:t xml:space="preserve">  </w:t>
      </w:r>
    </w:p>
    <w:p w14:paraId="78C50573">
      <w:pPr>
        <w:spacing w:after="120" w:line="259" w:lineRule="auto"/>
        <w:ind w:left="0" w:firstLine="0"/>
        <w:jc w:val="left"/>
      </w:pPr>
      <w:r>
        <w:rPr>
          <w:b/>
          <w:sz w:val="24"/>
        </w:rPr>
        <w:t xml:space="preserve"> </w:t>
      </w:r>
    </w:p>
    <w:p w14:paraId="396EFFDE">
      <w:pPr>
        <w:pStyle w:val="2"/>
        <w:spacing w:after="71"/>
        <w:ind w:left="-5"/>
      </w:pPr>
      <w:r>
        <w:t>EXECUTIVE BOARD</w:t>
      </w:r>
    </w:p>
    <w:p w14:paraId="725AC17C">
      <w:pPr>
        <w:spacing w:after="64" w:line="259" w:lineRule="auto"/>
        <w:ind w:left="0" w:firstLine="0"/>
        <w:jc w:val="left"/>
      </w:pPr>
      <w:r>
        <w:rPr>
          <w:b/>
        </w:rPr>
        <w:t xml:space="preserve"> </w:t>
      </w:r>
    </w:p>
    <w:p w14:paraId="1EBDAA16">
      <w:pPr>
        <w:spacing w:after="76" w:line="249" w:lineRule="auto"/>
        <w:ind w:left="-5" w:right="771"/>
      </w:pPr>
      <w:r>
        <w:t xml:space="preserve">Number: 3147-1/2026 </w:t>
      </w:r>
    </w:p>
    <w:p w14:paraId="6D32C12A">
      <w:pPr>
        <w:spacing w:after="64"/>
        <w:ind w:left="-5" w:right="770"/>
      </w:pPr>
      <w:r>
        <w:t xml:space="preserve">Code: PRA – 051 </w:t>
      </w:r>
    </w:p>
    <w:p w14:paraId="4F296AC8">
      <w:pPr>
        <w:spacing w:after="122" w:line="249" w:lineRule="auto"/>
        <w:ind w:left="-5" w:right="771"/>
      </w:pPr>
      <w:r>
        <w:t xml:space="preserve">Version: 3 </w:t>
      </w:r>
    </w:p>
    <w:p w14:paraId="02F264AF">
      <w:pPr>
        <w:spacing w:after="98" w:line="259" w:lineRule="auto"/>
        <w:ind w:left="-5"/>
        <w:jc w:val="left"/>
      </w:pPr>
      <w:r>
        <w:rPr>
          <w:sz w:val="24"/>
        </w:rPr>
        <w:t xml:space="preserve">Adopted on: 29 January 2026 </w:t>
      </w:r>
    </w:p>
    <w:p w14:paraId="280D41E0">
      <w:pPr>
        <w:spacing w:after="98" w:line="259" w:lineRule="auto"/>
        <w:ind w:left="-5"/>
        <w:jc w:val="left"/>
      </w:pPr>
      <w:r>
        <w:rPr>
          <w:sz w:val="24"/>
        </w:rPr>
        <w:t xml:space="preserve">Effective from: __________ </w:t>
      </w:r>
    </w:p>
    <w:p w14:paraId="1FA4FFFA">
      <w:pPr>
        <w:spacing w:after="139" w:line="259" w:lineRule="auto"/>
        <w:ind w:left="0" w:firstLine="0"/>
        <w:jc w:val="left"/>
      </w:pPr>
      <w:r>
        <w:rPr>
          <w:b/>
          <w:sz w:val="24"/>
        </w:rPr>
        <w:t xml:space="preserve"> </w:t>
      </w:r>
    </w:p>
    <w:p w14:paraId="17FCDCE2">
      <w:pPr>
        <w:spacing w:after="139" w:line="259" w:lineRule="auto"/>
        <w:ind w:left="0" w:firstLine="0"/>
        <w:jc w:val="left"/>
      </w:pPr>
      <w:r>
        <w:rPr>
          <w:b/>
          <w:sz w:val="24"/>
        </w:rPr>
        <w:t xml:space="preserve"> </w:t>
      </w:r>
    </w:p>
    <w:p w14:paraId="5AB29361">
      <w:pPr>
        <w:spacing w:after="139" w:line="259" w:lineRule="auto"/>
        <w:ind w:left="0" w:firstLine="0"/>
        <w:jc w:val="left"/>
      </w:pPr>
      <w:r>
        <w:rPr>
          <w:b/>
          <w:sz w:val="24"/>
        </w:rPr>
        <w:t xml:space="preserve"> </w:t>
      </w:r>
    </w:p>
    <w:p w14:paraId="0FCCE2CF">
      <w:pPr>
        <w:spacing w:after="139" w:line="259" w:lineRule="auto"/>
        <w:ind w:left="0" w:right="724" w:firstLine="0"/>
        <w:jc w:val="center"/>
      </w:pPr>
      <w:r>
        <w:rPr>
          <w:b/>
          <w:sz w:val="24"/>
        </w:rPr>
        <w:t xml:space="preserve"> </w:t>
      </w:r>
    </w:p>
    <w:p w14:paraId="4225C843">
      <w:pPr>
        <w:spacing w:after="139" w:line="259" w:lineRule="auto"/>
        <w:ind w:left="0" w:firstLine="0"/>
        <w:jc w:val="left"/>
      </w:pPr>
      <w:r>
        <w:rPr>
          <w:b/>
          <w:sz w:val="24"/>
        </w:rPr>
        <w:t xml:space="preserve"> </w:t>
      </w:r>
    </w:p>
    <w:p w14:paraId="3E807A7F">
      <w:pPr>
        <w:spacing w:after="175" w:line="259" w:lineRule="auto"/>
        <w:ind w:left="0" w:firstLine="0"/>
        <w:jc w:val="left"/>
      </w:pPr>
      <w:r>
        <w:rPr>
          <w:b/>
          <w:sz w:val="24"/>
        </w:rPr>
        <w:t xml:space="preserve"> </w:t>
      </w:r>
    </w:p>
    <w:p w14:paraId="61E830E7">
      <w:pPr>
        <w:spacing w:after="90" w:line="259" w:lineRule="auto"/>
        <w:ind w:left="0" w:firstLine="0"/>
        <w:jc w:val="left"/>
      </w:pPr>
      <w:r>
        <w:rPr>
          <w:b/>
          <w:sz w:val="28"/>
        </w:rPr>
        <w:t xml:space="preserve"> </w:t>
      </w:r>
    </w:p>
    <w:p w14:paraId="23A8F4CC">
      <w:pPr>
        <w:spacing w:after="0" w:line="329" w:lineRule="auto"/>
        <w:ind w:left="0" w:right="1151" w:firstLine="0"/>
        <w:jc w:val="center"/>
      </w:pPr>
      <w:r>
        <w:rPr>
          <w:b/>
          <w:sz w:val="28"/>
        </w:rPr>
        <w:t>REGULATION ON THE SCHEDULE OF CHARGES OF THE INVESTMENT BANKING DEPARTMENT OF ALTA BANKA A.D. BEOGRAD</w:t>
      </w:r>
    </w:p>
    <w:p w14:paraId="23C3F8A6">
      <w:pPr>
        <w:spacing w:after="93" w:line="259" w:lineRule="auto"/>
        <w:ind w:left="0" w:firstLine="0"/>
        <w:jc w:val="left"/>
      </w:pPr>
      <w:r>
        <w:rPr>
          <w:b/>
          <w:sz w:val="28"/>
        </w:rPr>
        <w:t xml:space="preserve"> </w:t>
      </w:r>
    </w:p>
    <w:p w14:paraId="3026B72C">
      <w:pPr>
        <w:spacing w:after="93" w:line="259" w:lineRule="auto"/>
        <w:ind w:left="0" w:firstLine="0"/>
        <w:jc w:val="left"/>
      </w:pPr>
      <w:r>
        <w:rPr>
          <w:b/>
          <w:sz w:val="28"/>
        </w:rPr>
        <w:t xml:space="preserve"> </w:t>
      </w:r>
    </w:p>
    <w:p w14:paraId="584DD5AB">
      <w:pPr>
        <w:spacing w:after="93" w:line="259" w:lineRule="auto"/>
        <w:ind w:left="0" w:firstLine="0"/>
        <w:jc w:val="left"/>
      </w:pPr>
      <w:r>
        <w:rPr>
          <w:b/>
          <w:sz w:val="28"/>
        </w:rPr>
        <w:t xml:space="preserve"> </w:t>
      </w:r>
    </w:p>
    <w:p w14:paraId="3D0AF449">
      <w:pPr>
        <w:spacing w:after="57" w:line="259" w:lineRule="auto"/>
        <w:ind w:left="0" w:firstLine="0"/>
        <w:jc w:val="left"/>
      </w:pPr>
      <w:r>
        <w:rPr>
          <w:b/>
          <w:sz w:val="28"/>
        </w:rPr>
        <w:t xml:space="preserve"> </w:t>
      </w:r>
    </w:p>
    <w:p w14:paraId="684A7553">
      <w:pPr>
        <w:spacing w:after="139" w:line="259" w:lineRule="auto"/>
        <w:ind w:left="0" w:firstLine="0"/>
        <w:jc w:val="left"/>
      </w:pPr>
      <w:r>
        <w:rPr>
          <w:b/>
          <w:sz w:val="24"/>
        </w:rPr>
        <w:t xml:space="preserve"> </w:t>
      </w:r>
    </w:p>
    <w:p w14:paraId="0B83E512">
      <w:pPr>
        <w:spacing w:after="139" w:line="259" w:lineRule="auto"/>
        <w:ind w:left="0" w:firstLine="0"/>
        <w:jc w:val="left"/>
      </w:pPr>
      <w:r>
        <w:rPr>
          <w:b/>
          <w:sz w:val="24"/>
        </w:rPr>
        <w:t xml:space="preserve"> </w:t>
      </w:r>
    </w:p>
    <w:p w14:paraId="5DF796F0">
      <w:pPr>
        <w:spacing w:after="2" w:line="378" w:lineRule="auto"/>
        <w:ind w:left="0" w:right="10366" w:firstLine="0"/>
        <w:jc w:val="left"/>
      </w:pPr>
      <w:r>
        <w:rPr>
          <w:b/>
          <w:sz w:val="24"/>
        </w:rPr>
        <w:t xml:space="preserve">  </w:t>
      </w:r>
    </w:p>
    <w:p w14:paraId="7E666640">
      <w:pPr>
        <w:spacing w:after="139" w:line="259" w:lineRule="auto"/>
        <w:ind w:left="0" w:firstLine="0"/>
        <w:jc w:val="left"/>
      </w:pPr>
      <w:r>
        <w:rPr>
          <w:b/>
          <w:sz w:val="24"/>
        </w:rPr>
        <w:t xml:space="preserve"> </w:t>
      </w:r>
    </w:p>
    <w:p w14:paraId="396DA920">
      <w:pPr>
        <w:spacing w:after="139" w:line="259" w:lineRule="auto"/>
        <w:ind w:left="0" w:firstLine="0"/>
        <w:jc w:val="left"/>
      </w:pPr>
      <w:r>
        <w:rPr>
          <w:b/>
          <w:sz w:val="24"/>
        </w:rPr>
        <w:t xml:space="preserve"> </w:t>
      </w:r>
    </w:p>
    <w:p w14:paraId="3EFDFE7A">
      <w:pPr>
        <w:spacing w:after="139" w:line="259" w:lineRule="auto"/>
        <w:ind w:left="0" w:firstLine="0"/>
        <w:jc w:val="left"/>
      </w:pPr>
      <w:r>
        <w:rPr>
          <w:b/>
          <w:sz w:val="24"/>
        </w:rPr>
        <w:t xml:space="preserve"> </w:t>
      </w:r>
    </w:p>
    <w:p w14:paraId="31185D98">
      <w:pPr>
        <w:spacing w:after="139" w:line="259" w:lineRule="auto"/>
        <w:ind w:left="0" w:firstLine="0"/>
        <w:jc w:val="left"/>
      </w:pPr>
      <w:r>
        <w:rPr>
          <w:b/>
          <w:sz w:val="24"/>
        </w:rPr>
        <w:t xml:space="preserve"> </w:t>
      </w:r>
    </w:p>
    <w:p w14:paraId="0ECB70CE">
      <w:pPr>
        <w:spacing w:after="0" w:line="259" w:lineRule="auto"/>
        <w:ind w:left="0" w:firstLine="0"/>
        <w:jc w:val="left"/>
      </w:pPr>
      <w:r>
        <w:rPr>
          <w:b/>
          <w:sz w:val="24"/>
        </w:rPr>
        <w:t xml:space="preserve"> </w:t>
      </w:r>
    </w:p>
    <w:p w14:paraId="2DB3477C">
      <w:pPr>
        <w:spacing w:after="120" w:line="259" w:lineRule="auto"/>
        <w:ind w:left="0" w:firstLine="0"/>
        <w:jc w:val="left"/>
      </w:pPr>
      <w:r>
        <w:rPr>
          <w:b/>
          <w:sz w:val="24"/>
        </w:rPr>
        <w:t xml:space="preserve"> </w:t>
      </w:r>
    </w:p>
    <w:p w14:paraId="51CA1FCF">
      <w:pPr>
        <w:spacing w:after="98" w:line="259" w:lineRule="auto"/>
        <w:jc w:val="left"/>
      </w:pPr>
      <w:r>
        <w:rPr>
          <w:b/>
        </w:rPr>
        <w:t xml:space="preserve">I  General Provisions </w:t>
      </w:r>
    </w:p>
    <w:p w14:paraId="52333824">
      <w:pPr>
        <w:spacing w:after="98" w:line="259" w:lineRule="auto"/>
        <w:ind w:left="0" w:firstLine="0"/>
        <w:jc w:val="left"/>
      </w:pPr>
      <w:r>
        <w:rPr>
          <w:b/>
        </w:rPr>
        <w:t xml:space="preserve"> </w:t>
      </w:r>
    </w:p>
    <w:p w14:paraId="11FDA528">
      <w:pPr>
        <w:pStyle w:val="3"/>
        <w:ind w:left="355"/>
      </w:pPr>
      <w:r>
        <w:rPr>
          <w:b w:val="0"/>
        </w:rPr>
        <w:t xml:space="preserve">1. </w:t>
      </w:r>
      <w:r>
        <w:t>Purpose of the Document</w:t>
      </w:r>
      <w:r>
        <w:rPr>
          <w:b w:val="0"/>
        </w:rPr>
        <w:t xml:space="preserve"> </w:t>
      </w:r>
    </w:p>
    <w:p w14:paraId="4AB5AE78">
      <w:pPr>
        <w:pStyle w:val="11"/>
        <w:numPr>
          <w:ilvl w:val="0"/>
          <w:numId w:val="1"/>
        </w:numPr>
        <w:ind w:right="770"/>
      </w:pPr>
      <w:r>
        <w:t xml:space="preserve">This Regulation sets out the maximum amounts of commissions and fees charged by Alta Bank a.d. Beograd (hereinafter referred to as the “Bank”) to its clients for providing investment and additional services in accordance with the Capital Market Law. The Regulation aims to ensure cost transparency and predictability for all investment and additional services provided by the Bank. </w:t>
      </w:r>
    </w:p>
    <w:p w14:paraId="36F3219D">
      <w:pPr>
        <w:pStyle w:val="3"/>
        <w:ind w:left="355"/>
      </w:pPr>
      <w:r>
        <w:rPr>
          <w:b w:val="0"/>
        </w:rPr>
        <w:t xml:space="preserve">2. </w:t>
      </w:r>
      <w:r>
        <w:t>Scope</w:t>
      </w:r>
      <w:r>
        <w:rPr>
          <w:b w:val="0"/>
        </w:rPr>
        <w:t xml:space="preserve"> </w:t>
      </w:r>
    </w:p>
    <w:p w14:paraId="285D4CB8">
      <w:pPr>
        <w:numPr>
          <w:ilvl w:val="0"/>
          <w:numId w:val="2"/>
        </w:numPr>
        <w:ind w:right="770" w:hanging="360"/>
      </w:pPr>
      <w:r>
        <w:t xml:space="preserve">The Bank’s fees and commissions may be set as fixed amounts or percentages, depending on the type of transaction or the service provided. For certain services, fees may be cumulative, consisting of multiple components charged together. </w:t>
      </w:r>
    </w:p>
    <w:p w14:paraId="1E54E9AA">
      <w:pPr>
        <w:numPr>
          <w:ilvl w:val="0"/>
          <w:numId w:val="2"/>
        </w:numPr>
        <w:ind w:right="770" w:hanging="360"/>
      </w:pPr>
      <w:r>
        <w:t xml:space="preserve">The Bank and the client may agree on lower commission rates than those set out in this Regulation, or may agree not to charge certain services, in line with the business policy and the clients specific demands. </w:t>
      </w:r>
    </w:p>
    <w:p w14:paraId="3A94E8CA">
      <w:pPr>
        <w:numPr>
          <w:ilvl w:val="0"/>
          <w:numId w:val="2"/>
        </w:numPr>
        <w:ind w:right="770" w:hanging="360"/>
      </w:pPr>
      <w:r>
        <w:t xml:space="preserve">The method of cost and fee payment shall be provided for in the agreement entered into with the client and may be either upon execution of the agreed service or in advance. </w:t>
      </w:r>
    </w:p>
    <w:p w14:paraId="7DB3528A">
      <w:pPr>
        <w:pStyle w:val="3"/>
        <w:ind w:left="355"/>
      </w:pPr>
      <w:r>
        <w:rPr>
          <w:b w:val="0"/>
        </w:rPr>
        <w:t xml:space="preserve">3. </w:t>
      </w:r>
      <w:r>
        <w:t>Legal Basis</w:t>
      </w:r>
      <w:r>
        <w:rPr>
          <w:b w:val="0"/>
        </w:rPr>
        <w:t xml:space="preserve"> </w:t>
      </w:r>
    </w:p>
    <w:p w14:paraId="63726B12">
      <w:pPr>
        <w:pStyle w:val="11"/>
        <w:numPr>
          <w:ilvl w:val="0"/>
          <w:numId w:val="1"/>
        </w:numPr>
        <w:ind w:right="770"/>
      </w:pPr>
      <w:r>
        <w:t>This Regulation is made pursuant to Article 155 of the Capital Market Law (</w:t>
      </w:r>
      <w:r>
        <w:rPr>
          <w:i/>
          <w:iCs/>
        </w:rPr>
        <w:t xml:space="preserve">Official Gazette of the Republic of Serbia </w:t>
      </w:r>
      <w:r>
        <w:t xml:space="preserve">No. 129/2021) and other relevant regulations. The Bank is required by law to submit this Regulation and any amendments hereto to the Securities Commission before their effectiveness, display it in its commercial offices where the investment and additional services are provided to clients and publish it on its website. </w:t>
      </w:r>
    </w:p>
    <w:p w14:paraId="378283F5">
      <w:pPr>
        <w:pStyle w:val="3"/>
        <w:ind w:left="355"/>
      </w:pPr>
      <w:r>
        <w:rPr>
          <w:b w:val="0"/>
        </w:rPr>
        <w:t xml:space="preserve">4. </w:t>
      </w:r>
      <w:r>
        <w:t>Supervision of Compliance</w:t>
      </w:r>
      <w:r>
        <w:rPr>
          <w:b w:val="0"/>
        </w:rPr>
        <w:t xml:space="preserve"> </w:t>
      </w:r>
    </w:p>
    <w:p w14:paraId="250D0F7E">
      <w:pPr>
        <w:pStyle w:val="11"/>
        <w:numPr>
          <w:ilvl w:val="0"/>
          <w:numId w:val="1"/>
        </w:numPr>
        <w:ind w:right="770"/>
      </w:pPr>
      <w:r>
        <w:t xml:space="preserve">The Application of this Regulation is subject to regular internal audits. The document must comply with all relevant legal provisions and may be amended subject to changes in legal and market conditions. Any amendments to this Regulation must be adopted by the Bank’s competent bodies and published in accordance with the law. </w:t>
      </w:r>
    </w:p>
    <w:p w14:paraId="0118252D">
      <w:pPr>
        <w:pStyle w:val="3"/>
        <w:spacing w:after="98"/>
      </w:pPr>
      <w:r>
        <w:t xml:space="preserve">II  Schedule of Charges for Brokerage Operations  </w:t>
      </w:r>
    </w:p>
    <w:p w14:paraId="1656DF01">
      <w:pPr>
        <w:spacing w:after="0" w:line="259" w:lineRule="auto"/>
        <w:ind w:left="0" w:firstLine="0"/>
        <w:jc w:val="left"/>
      </w:pPr>
      <w:r>
        <w:rPr>
          <w:rFonts w:ascii="Calibri" w:hAnsi="Calibri" w:eastAsia="Calibri" w:cs="Calibri"/>
          <w:b/>
        </w:rPr>
        <w:t xml:space="preserve"> </w:t>
      </w:r>
      <w:r>
        <w:rPr>
          <w:rFonts w:ascii="Calibri" w:hAnsi="Calibri" w:eastAsia="Calibri" w:cs="Calibri"/>
          <w:b/>
        </w:rPr>
        <w:tab/>
      </w:r>
      <w:r>
        <w:rPr>
          <w:rFonts w:ascii="Calibri" w:hAnsi="Calibri" w:eastAsia="Calibri" w:cs="Calibri"/>
          <w:b/>
        </w:rPr>
        <w:t xml:space="preserve"> </w:t>
      </w:r>
    </w:p>
    <w:tbl>
      <w:tblPr>
        <w:tblStyle w:val="10"/>
        <w:tblW w:w="9211" w:type="dxa"/>
        <w:tblInd w:w="144" w:type="dxa"/>
        <w:tblLayout w:type="autofit"/>
        <w:tblCellMar>
          <w:top w:w="50" w:type="dxa"/>
          <w:left w:w="107" w:type="dxa"/>
          <w:bottom w:w="0" w:type="dxa"/>
          <w:right w:w="58" w:type="dxa"/>
        </w:tblCellMar>
      </w:tblPr>
      <w:tblGrid>
        <w:gridCol w:w="850"/>
        <w:gridCol w:w="5104"/>
        <w:gridCol w:w="3257"/>
      </w:tblGrid>
      <w:tr w14:paraId="2B93F866">
        <w:tblPrEx>
          <w:tblCellMar>
            <w:top w:w="50" w:type="dxa"/>
            <w:left w:w="107" w:type="dxa"/>
            <w:bottom w:w="0" w:type="dxa"/>
            <w:right w:w="58" w:type="dxa"/>
          </w:tblCellMar>
        </w:tblPrEx>
        <w:trPr>
          <w:trHeight w:val="4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2F2F2"/>
          </w:tcPr>
          <w:p w14:paraId="1DB5F0EC">
            <w:pPr>
              <w:spacing w:after="0" w:line="259" w:lineRule="auto"/>
              <w:ind w:left="1" w:firstLine="0"/>
              <w:jc w:val="left"/>
            </w:pPr>
            <w:r>
              <w:rPr>
                <w:b/>
              </w:rPr>
              <w:t>No.</w:t>
            </w:r>
          </w:p>
        </w:tc>
        <w:tc>
          <w:tcPr>
            <w:tcW w:w="5105" w:type="dxa"/>
            <w:tcBorders>
              <w:top w:val="single" w:color="000000" w:sz="4" w:space="0"/>
              <w:left w:val="single" w:color="000000" w:sz="4" w:space="0"/>
              <w:bottom w:val="single" w:color="000000" w:sz="4" w:space="0"/>
              <w:right w:val="single" w:color="000000" w:sz="4" w:space="0"/>
            </w:tcBorders>
            <w:shd w:val="clear" w:color="auto" w:fill="F2F2F2"/>
          </w:tcPr>
          <w:p w14:paraId="67E85E9E">
            <w:pPr>
              <w:spacing w:after="0" w:line="259" w:lineRule="auto"/>
              <w:ind w:left="1" w:firstLine="0"/>
              <w:jc w:val="left"/>
            </w:pPr>
            <w:r>
              <w:rPr>
                <w:b/>
              </w:rPr>
              <w:t xml:space="preserve">BROKERAGE SERVICES </w:t>
            </w:r>
          </w:p>
        </w:tc>
        <w:tc>
          <w:tcPr>
            <w:tcW w:w="3257" w:type="dxa"/>
            <w:tcBorders>
              <w:top w:val="single" w:color="000000" w:sz="4" w:space="0"/>
              <w:left w:val="single" w:color="000000" w:sz="4" w:space="0"/>
              <w:bottom w:val="single" w:color="000000" w:sz="4" w:space="0"/>
              <w:right w:val="single" w:color="000000" w:sz="4" w:space="0"/>
            </w:tcBorders>
            <w:shd w:val="clear" w:color="auto" w:fill="F2F2F2"/>
          </w:tcPr>
          <w:p w14:paraId="5882C387">
            <w:pPr>
              <w:spacing w:after="0" w:line="259" w:lineRule="auto"/>
              <w:ind w:left="0" w:firstLine="0"/>
              <w:jc w:val="left"/>
            </w:pPr>
            <w:r>
              <w:rPr>
                <w:b/>
              </w:rPr>
              <w:t xml:space="preserve">Commission, fee </w:t>
            </w:r>
          </w:p>
        </w:tc>
      </w:tr>
      <w:tr w14:paraId="282C4ED4">
        <w:tblPrEx>
          <w:tblCellMar>
            <w:top w:w="50" w:type="dxa"/>
            <w:left w:w="107" w:type="dxa"/>
            <w:bottom w:w="0" w:type="dxa"/>
            <w:right w:w="58" w:type="dxa"/>
          </w:tblCellMar>
        </w:tblPrEx>
        <w:trPr>
          <w:trHeight w:val="1141" w:hRule="atLeast"/>
        </w:trPr>
        <w:tc>
          <w:tcPr>
            <w:tcW w:w="850" w:type="dxa"/>
            <w:tcBorders>
              <w:top w:val="single" w:color="000000" w:sz="4" w:space="0"/>
              <w:left w:val="single" w:color="000000" w:sz="4" w:space="0"/>
              <w:bottom w:val="single" w:color="000000" w:sz="4" w:space="0"/>
              <w:right w:val="single" w:color="000000" w:sz="4" w:space="0"/>
            </w:tcBorders>
          </w:tcPr>
          <w:p w14:paraId="66AD192D">
            <w:pPr>
              <w:spacing w:after="0" w:line="259" w:lineRule="auto"/>
              <w:ind w:left="0" w:right="224" w:firstLine="0"/>
              <w:jc w:val="center"/>
            </w:pPr>
            <w:r>
              <w:t xml:space="preserve">1.  </w:t>
            </w:r>
          </w:p>
        </w:tc>
        <w:tc>
          <w:tcPr>
            <w:tcW w:w="5105" w:type="dxa"/>
            <w:tcBorders>
              <w:top w:val="single" w:color="000000" w:sz="4" w:space="0"/>
              <w:left w:val="single" w:color="000000" w:sz="4" w:space="0"/>
              <w:bottom w:val="single" w:color="000000" w:sz="4" w:space="0"/>
              <w:right w:val="single" w:color="000000" w:sz="4" w:space="0"/>
            </w:tcBorders>
          </w:tcPr>
          <w:p w14:paraId="19ABAF10">
            <w:pPr>
              <w:spacing w:after="0" w:line="259" w:lineRule="auto"/>
              <w:ind w:left="174" w:firstLine="0"/>
            </w:pPr>
            <w:r>
              <w:t xml:space="preserve">Commission for trading equity financial instruments in the domestic organised market </w:t>
            </w:r>
          </w:p>
        </w:tc>
        <w:tc>
          <w:tcPr>
            <w:tcW w:w="3257" w:type="dxa"/>
            <w:tcBorders>
              <w:top w:val="single" w:color="000000" w:sz="4" w:space="0"/>
              <w:left w:val="single" w:color="000000" w:sz="4" w:space="0"/>
              <w:bottom w:val="single" w:color="000000" w:sz="4" w:space="0"/>
              <w:right w:val="single" w:color="000000" w:sz="4" w:space="0"/>
            </w:tcBorders>
          </w:tcPr>
          <w:p w14:paraId="6A67B8E0">
            <w:pPr>
              <w:spacing w:after="0" w:line="259" w:lineRule="auto"/>
              <w:ind w:left="175" w:right="49" w:firstLine="0"/>
            </w:pPr>
            <w:r>
              <w:t xml:space="preserve">Maximum commission: Up to 5% of the market value of the transaction, as per the analytics provided in Table 1 below </w:t>
            </w:r>
          </w:p>
        </w:tc>
      </w:tr>
      <w:tr w14:paraId="6944B5CB">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46D8F29B">
            <w:pPr>
              <w:spacing w:after="0" w:line="259" w:lineRule="auto"/>
              <w:ind w:left="0" w:right="224" w:firstLine="0"/>
              <w:jc w:val="center"/>
            </w:pPr>
            <w:r>
              <w:t xml:space="preserve">2.  </w:t>
            </w:r>
          </w:p>
        </w:tc>
        <w:tc>
          <w:tcPr>
            <w:tcW w:w="5105" w:type="dxa"/>
            <w:tcBorders>
              <w:top w:val="single" w:color="000000" w:sz="4" w:space="0"/>
              <w:left w:val="single" w:color="000000" w:sz="4" w:space="0"/>
              <w:bottom w:val="single" w:color="000000" w:sz="4" w:space="0"/>
              <w:right w:val="single" w:color="000000" w:sz="4" w:space="0"/>
            </w:tcBorders>
          </w:tcPr>
          <w:p w14:paraId="0BE00B1D">
            <w:pPr>
              <w:spacing w:after="0" w:line="259" w:lineRule="auto"/>
              <w:ind w:left="174" w:firstLine="0"/>
            </w:pPr>
            <w:r>
              <w:t xml:space="preserve">Commission for trading financial instruments on behalf of government authorities or agencies </w:t>
            </w:r>
          </w:p>
        </w:tc>
        <w:tc>
          <w:tcPr>
            <w:tcW w:w="3257" w:type="dxa"/>
            <w:tcBorders>
              <w:top w:val="single" w:color="000000" w:sz="4" w:space="0"/>
              <w:left w:val="single" w:color="000000" w:sz="4" w:space="0"/>
              <w:bottom w:val="single" w:color="000000" w:sz="4" w:space="0"/>
              <w:right w:val="single" w:color="000000" w:sz="4" w:space="0"/>
            </w:tcBorders>
          </w:tcPr>
          <w:p w14:paraId="2D17131B">
            <w:pPr>
              <w:spacing w:after="0" w:line="259" w:lineRule="auto"/>
              <w:ind w:left="175" w:firstLine="0"/>
            </w:pPr>
            <w:r>
              <w:t xml:space="preserve">Maximum commission: Up to 5% of the market value of the transaction. </w:t>
            </w:r>
          </w:p>
        </w:tc>
      </w:tr>
      <w:tr w14:paraId="51F594AD">
        <w:tblPrEx>
          <w:tblCellMar>
            <w:top w:w="50" w:type="dxa"/>
            <w:left w:w="107" w:type="dxa"/>
            <w:bottom w:w="0" w:type="dxa"/>
            <w:right w:w="58" w:type="dxa"/>
          </w:tblCellMar>
        </w:tblPrEx>
        <w:trPr>
          <w:trHeight w:val="636" w:hRule="atLeast"/>
        </w:trPr>
        <w:tc>
          <w:tcPr>
            <w:tcW w:w="850" w:type="dxa"/>
            <w:tcBorders>
              <w:top w:val="single" w:color="000000" w:sz="4" w:space="0"/>
              <w:left w:val="single" w:color="000000" w:sz="4" w:space="0"/>
              <w:bottom w:val="single" w:color="000000" w:sz="4" w:space="0"/>
              <w:right w:val="single" w:color="000000" w:sz="4" w:space="0"/>
            </w:tcBorders>
          </w:tcPr>
          <w:p w14:paraId="0BFF156D">
            <w:pPr>
              <w:spacing w:after="0" w:line="259" w:lineRule="auto"/>
              <w:ind w:left="0" w:right="224" w:firstLine="0"/>
              <w:jc w:val="center"/>
            </w:pPr>
            <w:r>
              <w:t xml:space="preserve">3.  </w:t>
            </w:r>
          </w:p>
        </w:tc>
        <w:tc>
          <w:tcPr>
            <w:tcW w:w="5105" w:type="dxa"/>
            <w:tcBorders>
              <w:top w:val="single" w:color="000000" w:sz="4" w:space="0"/>
              <w:left w:val="single" w:color="000000" w:sz="4" w:space="0"/>
              <w:bottom w:val="single" w:color="000000" w:sz="4" w:space="0"/>
              <w:right w:val="single" w:color="000000" w:sz="4" w:space="0"/>
            </w:tcBorders>
          </w:tcPr>
          <w:p w14:paraId="53E5A08E">
            <w:pPr>
              <w:spacing w:after="0" w:line="259" w:lineRule="auto"/>
              <w:ind w:left="174" w:firstLine="0"/>
            </w:pPr>
            <w:r>
              <w:t xml:space="preserve">Fee for receiving orders for trading primary issue bonds in the domestic market </w:t>
            </w:r>
          </w:p>
        </w:tc>
        <w:tc>
          <w:tcPr>
            <w:tcW w:w="3257" w:type="dxa"/>
            <w:tcBorders>
              <w:top w:val="single" w:color="000000" w:sz="4" w:space="0"/>
              <w:left w:val="single" w:color="000000" w:sz="4" w:space="0"/>
              <w:bottom w:val="single" w:color="000000" w:sz="4" w:space="0"/>
              <w:right w:val="single" w:color="000000" w:sz="4" w:space="0"/>
            </w:tcBorders>
          </w:tcPr>
          <w:p w14:paraId="2B4D5D00">
            <w:pPr>
              <w:spacing w:after="0" w:line="259" w:lineRule="auto"/>
              <w:ind w:left="175" w:firstLine="0"/>
              <w:jc w:val="left"/>
            </w:pPr>
            <w:r>
              <w:t xml:space="preserve">RSD 5,000.00 per issued order </w:t>
            </w:r>
          </w:p>
        </w:tc>
      </w:tr>
      <w:tr w14:paraId="6803C07C">
        <w:tblPrEx>
          <w:tblCellMar>
            <w:top w:w="50" w:type="dxa"/>
            <w:left w:w="107" w:type="dxa"/>
            <w:bottom w:w="0" w:type="dxa"/>
            <w:right w:w="5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tcPr>
          <w:p w14:paraId="55559C38">
            <w:pPr>
              <w:spacing w:after="0" w:line="259" w:lineRule="auto"/>
              <w:ind w:left="0" w:right="224" w:firstLine="0"/>
              <w:jc w:val="center"/>
            </w:pPr>
            <w:r>
              <w:t xml:space="preserve">4.  </w:t>
            </w:r>
          </w:p>
        </w:tc>
        <w:tc>
          <w:tcPr>
            <w:tcW w:w="5105" w:type="dxa"/>
            <w:tcBorders>
              <w:top w:val="single" w:color="000000" w:sz="4" w:space="0"/>
              <w:left w:val="single" w:color="000000" w:sz="4" w:space="0"/>
              <w:bottom w:val="single" w:color="000000" w:sz="4" w:space="0"/>
              <w:right w:val="single" w:color="000000" w:sz="4" w:space="0"/>
            </w:tcBorders>
          </w:tcPr>
          <w:p w14:paraId="5056F559">
            <w:pPr>
              <w:spacing w:after="0" w:line="259" w:lineRule="auto"/>
              <w:ind w:left="174" w:right="54" w:firstLine="0"/>
            </w:pPr>
            <w:r>
              <w:t>Commission for trading debt securities (bills, bonds) in the domestic market in secondary trading</w:t>
            </w:r>
          </w:p>
        </w:tc>
        <w:tc>
          <w:tcPr>
            <w:tcW w:w="3257" w:type="dxa"/>
            <w:tcBorders>
              <w:top w:val="single" w:color="000000" w:sz="4" w:space="0"/>
              <w:left w:val="single" w:color="000000" w:sz="4" w:space="0"/>
              <w:bottom w:val="single" w:color="000000" w:sz="4" w:space="0"/>
              <w:right w:val="single" w:color="000000" w:sz="4" w:space="0"/>
            </w:tcBorders>
          </w:tcPr>
          <w:p w14:paraId="330F2B7A">
            <w:pPr>
              <w:spacing w:after="0" w:line="259" w:lineRule="auto"/>
              <w:ind w:left="175" w:right="49" w:firstLine="0"/>
            </w:pPr>
            <w:r>
              <w:t xml:space="preserve">Maximum commission: Up to 5% of the market value of the transaction, as per the analytics provided in Table 2 below </w:t>
            </w:r>
          </w:p>
        </w:tc>
      </w:tr>
      <w:tr w14:paraId="6414EDD9">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72FC34BA">
            <w:pPr>
              <w:spacing w:after="0" w:line="259" w:lineRule="auto"/>
              <w:ind w:left="0" w:right="377" w:firstLine="0"/>
              <w:jc w:val="center"/>
            </w:pPr>
            <w:r>
              <w:t xml:space="preserve">5.  </w:t>
            </w:r>
          </w:p>
        </w:tc>
        <w:tc>
          <w:tcPr>
            <w:tcW w:w="5105" w:type="dxa"/>
            <w:tcBorders>
              <w:top w:val="single" w:color="000000" w:sz="4" w:space="0"/>
              <w:left w:val="single" w:color="000000" w:sz="4" w:space="0"/>
              <w:bottom w:val="single" w:color="000000" w:sz="4" w:space="0"/>
              <w:right w:val="single" w:color="000000" w:sz="4" w:space="0"/>
            </w:tcBorders>
          </w:tcPr>
          <w:p w14:paraId="507FC20C">
            <w:pPr>
              <w:spacing w:after="0" w:line="259" w:lineRule="auto"/>
              <w:ind w:left="17" w:firstLine="0"/>
            </w:pPr>
            <w:r>
              <w:t xml:space="preserve">Commission for trading financial derivatives and other derived financial instruments </w:t>
            </w:r>
          </w:p>
        </w:tc>
        <w:tc>
          <w:tcPr>
            <w:tcW w:w="3257" w:type="dxa"/>
            <w:tcBorders>
              <w:top w:val="single" w:color="000000" w:sz="4" w:space="0"/>
              <w:left w:val="single" w:color="000000" w:sz="4" w:space="0"/>
              <w:bottom w:val="single" w:color="000000" w:sz="4" w:space="0"/>
              <w:right w:val="single" w:color="000000" w:sz="4" w:space="0"/>
            </w:tcBorders>
          </w:tcPr>
          <w:p w14:paraId="50443793">
            <w:pPr>
              <w:spacing w:after="0" w:line="259" w:lineRule="auto"/>
              <w:ind w:left="19" w:firstLine="0"/>
            </w:pPr>
            <w:r>
              <w:t xml:space="preserve">Maximum commission: Up to 5% of the market value of the transaction. </w:t>
            </w:r>
          </w:p>
        </w:tc>
      </w:tr>
      <w:tr w14:paraId="465EC307">
        <w:tblPrEx>
          <w:tblCellMar>
            <w:top w:w="50" w:type="dxa"/>
            <w:left w:w="107" w:type="dxa"/>
            <w:bottom w:w="0" w:type="dxa"/>
            <w:right w:w="58" w:type="dxa"/>
          </w:tblCellMar>
        </w:tblPrEx>
        <w:trPr>
          <w:trHeight w:val="636" w:hRule="atLeast"/>
        </w:trPr>
        <w:tc>
          <w:tcPr>
            <w:tcW w:w="850" w:type="dxa"/>
            <w:tcBorders>
              <w:top w:val="single" w:color="000000" w:sz="4" w:space="0"/>
              <w:left w:val="single" w:color="000000" w:sz="4" w:space="0"/>
              <w:bottom w:val="single" w:color="000000" w:sz="4" w:space="0"/>
              <w:right w:val="single" w:color="000000" w:sz="4" w:space="0"/>
            </w:tcBorders>
          </w:tcPr>
          <w:p w14:paraId="11F589CF">
            <w:pPr>
              <w:spacing w:after="0" w:line="259" w:lineRule="auto"/>
              <w:ind w:left="0" w:right="377" w:firstLine="0"/>
              <w:jc w:val="center"/>
            </w:pPr>
            <w:r>
              <w:t xml:space="preserve">6.  </w:t>
            </w:r>
          </w:p>
        </w:tc>
        <w:tc>
          <w:tcPr>
            <w:tcW w:w="5105" w:type="dxa"/>
            <w:tcBorders>
              <w:top w:val="single" w:color="000000" w:sz="4" w:space="0"/>
              <w:left w:val="single" w:color="000000" w:sz="4" w:space="0"/>
              <w:bottom w:val="single" w:color="000000" w:sz="4" w:space="0"/>
              <w:right w:val="single" w:color="000000" w:sz="4" w:space="0"/>
            </w:tcBorders>
          </w:tcPr>
          <w:p w14:paraId="13B473DD">
            <w:pPr>
              <w:spacing w:after="0" w:line="259" w:lineRule="auto"/>
              <w:ind w:left="17" w:firstLine="0"/>
              <w:jc w:val="left"/>
            </w:pPr>
            <w:r>
              <w:t xml:space="preserve">Fee for receiving, modifying and cancelling orders </w:t>
            </w:r>
          </w:p>
        </w:tc>
        <w:tc>
          <w:tcPr>
            <w:tcW w:w="3257" w:type="dxa"/>
            <w:tcBorders>
              <w:top w:val="single" w:color="000000" w:sz="4" w:space="0"/>
              <w:left w:val="single" w:color="000000" w:sz="4" w:space="0"/>
              <w:bottom w:val="single" w:color="000000" w:sz="4" w:space="0"/>
              <w:right w:val="single" w:color="000000" w:sz="4" w:space="0"/>
            </w:tcBorders>
          </w:tcPr>
          <w:p w14:paraId="0CCD9877">
            <w:pPr>
              <w:spacing w:after="0" w:line="259" w:lineRule="auto"/>
              <w:ind w:left="19" w:firstLine="0"/>
            </w:pPr>
            <w:r>
              <w:t xml:space="preserve">Maximum fee: Up to RSD 1,000.00 per order. </w:t>
            </w:r>
          </w:p>
        </w:tc>
      </w:tr>
      <w:tr w14:paraId="69D289E7">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3C6CCD6B">
            <w:pPr>
              <w:spacing w:after="0" w:line="259" w:lineRule="auto"/>
              <w:ind w:left="0" w:right="377" w:firstLine="0"/>
              <w:jc w:val="center"/>
            </w:pPr>
            <w:r>
              <w:t xml:space="preserve">7.  </w:t>
            </w:r>
          </w:p>
        </w:tc>
        <w:tc>
          <w:tcPr>
            <w:tcW w:w="5105" w:type="dxa"/>
            <w:tcBorders>
              <w:top w:val="single" w:color="000000" w:sz="4" w:space="0"/>
              <w:left w:val="single" w:color="000000" w:sz="4" w:space="0"/>
              <w:bottom w:val="single" w:color="000000" w:sz="4" w:space="0"/>
              <w:right w:val="single" w:color="000000" w:sz="4" w:space="0"/>
            </w:tcBorders>
          </w:tcPr>
          <w:p w14:paraId="35114E99">
            <w:pPr>
              <w:spacing w:after="0" w:line="259" w:lineRule="auto"/>
              <w:ind w:left="17" w:firstLine="0"/>
              <w:jc w:val="left"/>
            </w:pPr>
            <w:r>
              <w:t xml:space="preserve">Fee for receiving orders for trading in foreign markets </w:t>
            </w:r>
          </w:p>
        </w:tc>
        <w:tc>
          <w:tcPr>
            <w:tcW w:w="3257" w:type="dxa"/>
            <w:tcBorders>
              <w:top w:val="single" w:color="000000" w:sz="4" w:space="0"/>
              <w:left w:val="single" w:color="000000" w:sz="4" w:space="0"/>
              <w:bottom w:val="single" w:color="000000" w:sz="4" w:space="0"/>
              <w:right w:val="single" w:color="000000" w:sz="4" w:space="0"/>
            </w:tcBorders>
          </w:tcPr>
          <w:p w14:paraId="74011D6B">
            <w:pPr>
              <w:spacing w:after="0" w:line="259" w:lineRule="auto"/>
              <w:ind w:left="19" w:firstLine="0"/>
              <w:jc w:val="left"/>
            </w:pPr>
            <w:r>
              <w:t xml:space="preserve">Maximum fee: Up to EUR 10 per order. </w:t>
            </w:r>
          </w:p>
        </w:tc>
      </w:tr>
      <w:tr w14:paraId="06002266">
        <w:tblPrEx>
          <w:tblCellMar>
            <w:top w:w="50" w:type="dxa"/>
            <w:left w:w="107" w:type="dxa"/>
            <w:bottom w:w="0" w:type="dxa"/>
            <w:right w:w="58" w:type="dxa"/>
          </w:tblCellMar>
        </w:tblPrEx>
        <w:trPr>
          <w:trHeight w:val="636" w:hRule="atLeast"/>
        </w:trPr>
        <w:tc>
          <w:tcPr>
            <w:tcW w:w="850" w:type="dxa"/>
            <w:tcBorders>
              <w:top w:val="single" w:color="000000" w:sz="4" w:space="0"/>
              <w:left w:val="single" w:color="000000" w:sz="4" w:space="0"/>
              <w:bottom w:val="single" w:color="000000" w:sz="4" w:space="0"/>
              <w:right w:val="single" w:color="000000" w:sz="4" w:space="0"/>
            </w:tcBorders>
          </w:tcPr>
          <w:p w14:paraId="4D0162D2">
            <w:pPr>
              <w:spacing w:after="0" w:line="259" w:lineRule="auto"/>
              <w:ind w:left="0" w:right="377" w:firstLine="0"/>
              <w:jc w:val="center"/>
            </w:pPr>
            <w:r>
              <w:t xml:space="preserve">8.  </w:t>
            </w:r>
          </w:p>
        </w:tc>
        <w:tc>
          <w:tcPr>
            <w:tcW w:w="5105" w:type="dxa"/>
            <w:tcBorders>
              <w:top w:val="single" w:color="000000" w:sz="4" w:space="0"/>
              <w:left w:val="single" w:color="000000" w:sz="4" w:space="0"/>
              <w:bottom w:val="single" w:color="000000" w:sz="4" w:space="0"/>
              <w:right w:val="single" w:color="000000" w:sz="4" w:space="0"/>
            </w:tcBorders>
          </w:tcPr>
          <w:p w14:paraId="4938EE73">
            <w:pPr>
              <w:spacing w:after="0" w:line="259" w:lineRule="auto"/>
              <w:ind w:left="17" w:firstLine="0"/>
            </w:pPr>
            <w:r>
              <w:t xml:space="preserve">Fee for receiving orders for trading financial instruments issued by the Republic of Serbia </w:t>
            </w:r>
          </w:p>
        </w:tc>
        <w:tc>
          <w:tcPr>
            <w:tcW w:w="3257" w:type="dxa"/>
            <w:tcBorders>
              <w:top w:val="single" w:color="000000" w:sz="4" w:space="0"/>
              <w:left w:val="single" w:color="000000" w:sz="4" w:space="0"/>
              <w:bottom w:val="single" w:color="000000" w:sz="4" w:space="0"/>
              <w:right w:val="single" w:color="000000" w:sz="4" w:space="0"/>
            </w:tcBorders>
          </w:tcPr>
          <w:p w14:paraId="28209BA7">
            <w:pPr>
              <w:spacing w:after="0" w:line="259" w:lineRule="auto"/>
              <w:ind w:left="19" w:firstLine="0"/>
            </w:pPr>
            <w:r>
              <w:t xml:space="preserve">Maximum fee: Up to RSD 1,000.00 per order. </w:t>
            </w:r>
          </w:p>
        </w:tc>
      </w:tr>
      <w:tr w14:paraId="72E52C41">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4E345688">
            <w:pPr>
              <w:spacing w:after="0" w:line="259" w:lineRule="auto"/>
              <w:ind w:left="0" w:right="377" w:firstLine="0"/>
              <w:jc w:val="center"/>
            </w:pPr>
            <w:r>
              <w:t xml:space="preserve">9.  </w:t>
            </w:r>
          </w:p>
        </w:tc>
        <w:tc>
          <w:tcPr>
            <w:tcW w:w="5105" w:type="dxa"/>
            <w:tcBorders>
              <w:top w:val="single" w:color="000000" w:sz="4" w:space="0"/>
              <w:left w:val="single" w:color="000000" w:sz="4" w:space="0"/>
              <w:bottom w:val="single" w:color="000000" w:sz="4" w:space="0"/>
              <w:right w:val="single" w:color="000000" w:sz="4" w:space="0"/>
            </w:tcBorders>
          </w:tcPr>
          <w:p w14:paraId="48E87114">
            <w:pPr>
              <w:spacing w:after="0" w:line="259" w:lineRule="auto"/>
              <w:ind w:left="17" w:firstLine="0"/>
            </w:pPr>
            <w:r>
              <w:t xml:space="preserve">Commission for brokering the purchase/sale of investment fund units </w:t>
            </w:r>
          </w:p>
        </w:tc>
        <w:tc>
          <w:tcPr>
            <w:tcW w:w="3257" w:type="dxa"/>
            <w:tcBorders>
              <w:top w:val="single" w:color="000000" w:sz="4" w:space="0"/>
              <w:left w:val="single" w:color="000000" w:sz="4" w:space="0"/>
              <w:bottom w:val="single" w:color="000000" w:sz="4" w:space="0"/>
              <w:right w:val="single" w:color="000000" w:sz="4" w:space="0"/>
            </w:tcBorders>
          </w:tcPr>
          <w:p w14:paraId="1846E5A8">
            <w:pPr>
              <w:spacing w:after="0" w:line="259" w:lineRule="auto"/>
              <w:ind w:left="19" w:firstLine="0"/>
            </w:pPr>
            <w:r>
              <w:t xml:space="preserve">Maximum commission: Up to 1% of the transaction amount. </w:t>
            </w:r>
          </w:p>
        </w:tc>
      </w:tr>
      <w:tr w14:paraId="6535A873">
        <w:tblPrEx>
          <w:tblCellMar>
            <w:top w:w="50" w:type="dxa"/>
            <w:left w:w="107" w:type="dxa"/>
            <w:bottom w:w="0" w:type="dxa"/>
            <w:right w:w="58" w:type="dxa"/>
          </w:tblCellMar>
        </w:tblPrEx>
        <w:trPr>
          <w:trHeight w:val="636" w:hRule="atLeast"/>
        </w:trPr>
        <w:tc>
          <w:tcPr>
            <w:tcW w:w="850" w:type="dxa"/>
            <w:tcBorders>
              <w:top w:val="single" w:color="000000" w:sz="4" w:space="0"/>
              <w:left w:val="single" w:color="000000" w:sz="4" w:space="0"/>
              <w:bottom w:val="single" w:color="000000" w:sz="4" w:space="0"/>
              <w:right w:val="single" w:color="000000" w:sz="4" w:space="0"/>
            </w:tcBorders>
          </w:tcPr>
          <w:p w14:paraId="5CDFABBA">
            <w:pPr>
              <w:spacing w:after="0" w:line="259" w:lineRule="auto"/>
              <w:ind w:left="0" w:right="276" w:firstLine="0"/>
              <w:jc w:val="center"/>
            </w:pPr>
            <w:r>
              <w:t xml:space="preserve">10.  </w:t>
            </w:r>
          </w:p>
        </w:tc>
        <w:tc>
          <w:tcPr>
            <w:tcW w:w="5105" w:type="dxa"/>
            <w:tcBorders>
              <w:top w:val="single" w:color="000000" w:sz="4" w:space="0"/>
              <w:left w:val="single" w:color="000000" w:sz="4" w:space="0"/>
              <w:bottom w:val="single" w:color="000000" w:sz="4" w:space="0"/>
              <w:right w:val="single" w:color="000000" w:sz="4" w:space="0"/>
            </w:tcBorders>
          </w:tcPr>
          <w:p w14:paraId="0BCBF0FD">
            <w:pPr>
              <w:spacing w:after="0" w:line="259" w:lineRule="auto"/>
              <w:ind w:left="17" w:firstLine="0"/>
              <w:jc w:val="left"/>
            </w:pPr>
            <w:r>
              <w:t xml:space="preserve">Commission for the acquisition/disposal of treasury shares </w:t>
            </w:r>
          </w:p>
        </w:tc>
        <w:tc>
          <w:tcPr>
            <w:tcW w:w="3257" w:type="dxa"/>
            <w:tcBorders>
              <w:top w:val="single" w:color="000000" w:sz="4" w:space="0"/>
              <w:left w:val="single" w:color="000000" w:sz="4" w:space="0"/>
              <w:bottom w:val="single" w:color="000000" w:sz="4" w:space="0"/>
              <w:right w:val="single" w:color="000000" w:sz="4" w:space="0"/>
            </w:tcBorders>
          </w:tcPr>
          <w:p w14:paraId="29E8DB66">
            <w:pPr>
              <w:spacing w:after="0" w:line="259" w:lineRule="auto"/>
              <w:ind w:left="19" w:firstLine="0"/>
            </w:pPr>
            <w:r>
              <w:t xml:space="preserve">Maximum commission: Up to 5% of the market value of the transaction. </w:t>
            </w:r>
          </w:p>
        </w:tc>
      </w:tr>
      <w:tr w14:paraId="3FB3AD29">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568C4028">
            <w:pPr>
              <w:spacing w:after="0" w:line="259" w:lineRule="auto"/>
              <w:ind w:left="0" w:right="276" w:firstLine="0"/>
              <w:jc w:val="center"/>
            </w:pPr>
            <w:r>
              <w:t xml:space="preserve">11.  </w:t>
            </w:r>
          </w:p>
        </w:tc>
        <w:tc>
          <w:tcPr>
            <w:tcW w:w="5105" w:type="dxa"/>
            <w:tcBorders>
              <w:top w:val="single" w:color="000000" w:sz="4" w:space="0"/>
              <w:left w:val="single" w:color="000000" w:sz="4" w:space="0"/>
              <w:bottom w:val="single" w:color="000000" w:sz="4" w:space="0"/>
              <w:right w:val="single" w:color="000000" w:sz="4" w:space="0"/>
            </w:tcBorders>
          </w:tcPr>
          <w:p w14:paraId="5D862C73">
            <w:pPr>
              <w:spacing w:after="0" w:line="259" w:lineRule="auto"/>
              <w:ind w:left="17" w:firstLine="0"/>
              <w:jc w:val="left"/>
            </w:pPr>
            <w:r>
              <w:t>Commission for compulsory sale/purchase of shares</w:t>
            </w:r>
          </w:p>
        </w:tc>
        <w:tc>
          <w:tcPr>
            <w:tcW w:w="3257" w:type="dxa"/>
            <w:tcBorders>
              <w:top w:val="single" w:color="000000" w:sz="4" w:space="0"/>
              <w:left w:val="single" w:color="000000" w:sz="4" w:space="0"/>
              <w:bottom w:val="single" w:color="000000" w:sz="4" w:space="0"/>
              <w:right w:val="single" w:color="000000" w:sz="4" w:space="0"/>
            </w:tcBorders>
          </w:tcPr>
          <w:p w14:paraId="7F642385">
            <w:pPr>
              <w:spacing w:after="0" w:line="259" w:lineRule="auto"/>
              <w:ind w:left="19" w:firstLine="0"/>
            </w:pPr>
            <w:r>
              <w:t xml:space="preserve">Maximum commission: Up to 5% of the market value of the transaction. </w:t>
            </w:r>
          </w:p>
        </w:tc>
      </w:tr>
      <w:tr w14:paraId="7C19131F">
        <w:tblPrEx>
          <w:tblCellMar>
            <w:top w:w="50" w:type="dxa"/>
            <w:left w:w="107" w:type="dxa"/>
            <w:bottom w:w="0" w:type="dxa"/>
            <w:right w:w="58" w:type="dxa"/>
          </w:tblCellMar>
        </w:tblPrEx>
        <w:trPr>
          <w:trHeight w:val="636" w:hRule="atLeast"/>
        </w:trPr>
        <w:tc>
          <w:tcPr>
            <w:tcW w:w="850" w:type="dxa"/>
            <w:tcBorders>
              <w:top w:val="single" w:color="000000" w:sz="4" w:space="0"/>
              <w:left w:val="single" w:color="000000" w:sz="4" w:space="0"/>
              <w:bottom w:val="single" w:color="000000" w:sz="4" w:space="0"/>
              <w:right w:val="single" w:color="000000" w:sz="4" w:space="0"/>
            </w:tcBorders>
          </w:tcPr>
          <w:p w14:paraId="6B06E3DF">
            <w:pPr>
              <w:spacing w:after="0" w:line="259" w:lineRule="auto"/>
              <w:ind w:left="0" w:right="276" w:firstLine="0"/>
              <w:jc w:val="center"/>
            </w:pPr>
            <w:r>
              <w:t xml:space="preserve">12.  </w:t>
            </w:r>
          </w:p>
        </w:tc>
        <w:tc>
          <w:tcPr>
            <w:tcW w:w="5105" w:type="dxa"/>
            <w:tcBorders>
              <w:top w:val="single" w:color="000000" w:sz="4" w:space="0"/>
              <w:left w:val="single" w:color="000000" w:sz="4" w:space="0"/>
              <w:bottom w:val="single" w:color="000000" w:sz="4" w:space="0"/>
              <w:right w:val="single" w:color="000000" w:sz="4" w:space="0"/>
            </w:tcBorders>
          </w:tcPr>
          <w:p w14:paraId="0260C406">
            <w:pPr>
              <w:spacing w:after="0" w:line="259" w:lineRule="auto"/>
              <w:ind w:left="17" w:firstLine="0"/>
              <w:jc w:val="left"/>
            </w:pPr>
            <w:r>
              <w:t>Commission for payout of price differences</w:t>
            </w:r>
          </w:p>
        </w:tc>
        <w:tc>
          <w:tcPr>
            <w:tcW w:w="3257" w:type="dxa"/>
            <w:tcBorders>
              <w:top w:val="single" w:color="000000" w:sz="4" w:space="0"/>
              <w:left w:val="single" w:color="000000" w:sz="4" w:space="0"/>
              <w:bottom w:val="single" w:color="000000" w:sz="4" w:space="0"/>
              <w:right w:val="single" w:color="000000" w:sz="4" w:space="0"/>
            </w:tcBorders>
          </w:tcPr>
          <w:p w14:paraId="554CBDC5">
            <w:pPr>
              <w:spacing w:after="0" w:line="259" w:lineRule="auto"/>
              <w:ind w:left="19" w:firstLine="0"/>
            </w:pPr>
            <w:r>
              <w:t xml:space="preserve">Maximum commission: Up to 5% of the paid-out amount. </w:t>
            </w:r>
          </w:p>
        </w:tc>
      </w:tr>
      <w:tr w14:paraId="2C827F9F">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68FF73F6">
            <w:pPr>
              <w:spacing w:after="0" w:line="259" w:lineRule="auto"/>
              <w:ind w:left="0" w:right="276" w:firstLine="0"/>
              <w:jc w:val="center"/>
            </w:pPr>
            <w:r>
              <w:t xml:space="preserve">13.  </w:t>
            </w:r>
          </w:p>
        </w:tc>
        <w:tc>
          <w:tcPr>
            <w:tcW w:w="5105" w:type="dxa"/>
            <w:tcBorders>
              <w:top w:val="single" w:color="000000" w:sz="4" w:space="0"/>
              <w:left w:val="single" w:color="000000" w:sz="4" w:space="0"/>
              <w:bottom w:val="single" w:color="000000" w:sz="4" w:space="0"/>
              <w:right w:val="single" w:color="000000" w:sz="4" w:space="0"/>
            </w:tcBorders>
          </w:tcPr>
          <w:p w14:paraId="2B108D32">
            <w:pPr>
              <w:spacing w:after="0" w:line="259" w:lineRule="auto"/>
              <w:ind w:left="0" w:right="173" w:firstLine="0"/>
              <w:jc w:val="center"/>
            </w:pPr>
            <w:r>
              <w:t xml:space="preserve">Commission for executing share buyback transactions – dissenting shareholders </w:t>
            </w:r>
          </w:p>
        </w:tc>
        <w:tc>
          <w:tcPr>
            <w:tcW w:w="3257" w:type="dxa"/>
            <w:tcBorders>
              <w:top w:val="single" w:color="000000" w:sz="4" w:space="0"/>
              <w:left w:val="single" w:color="000000" w:sz="4" w:space="0"/>
              <w:bottom w:val="single" w:color="000000" w:sz="4" w:space="0"/>
              <w:right w:val="single" w:color="000000" w:sz="4" w:space="0"/>
            </w:tcBorders>
          </w:tcPr>
          <w:p w14:paraId="35056F10">
            <w:pPr>
              <w:spacing w:after="0" w:line="259" w:lineRule="auto"/>
              <w:ind w:left="19" w:firstLine="0"/>
            </w:pPr>
            <w:r>
              <w:t xml:space="preserve">Maximum commission: Up to 5% of the transaction value. </w:t>
            </w:r>
          </w:p>
        </w:tc>
      </w:tr>
      <w:tr w14:paraId="3CB98A77">
        <w:tblPrEx>
          <w:tblCellMar>
            <w:top w:w="50" w:type="dxa"/>
            <w:left w:w="107" w:type="dxa"/>
            <w:bottom w:w="0" w:type="dxa"/>
            <w:right w:w="58" w:type="dxa"/>
          </w:tblCellMar>
        </w:tblPrEx>
        <w:trPr>
          <w:trHeight w:val="636" w:hRule="atLeast"/>
        </w:trPr>
        <w:tc>
          <w:tcPr>
            <w:tcW w:w="850" w:type="dxa"/>
            <w:tcBorders>
              <w:top w:val="single" w:color="000000" w:sz="4" w:space="0"/>
              <w:left w:val="single" w:color="000000" w:sz="4" w:space="0"/>
              <w:bottom w:val="single" w:color="000000" w:sz="4" w:space="0"/>
              <w:right w:val="single" w:color="000000" w:sz="4" w:space="0"/>
            </w:tcBorders>
          </w:tcPr>
          <w:p w14:paraId="2566C331">
            <w:pPr>
              <w:spacing w:after="0" w:line="259" w:lineRule="auto"/>
              <w:ind w:left="0" w:right="276" w:firstLine="0"/>
              <w:jc w:val="center"/>
            </w:pPr>
            <w:r>
              <w:t xml:space="preserve">14.  </w:t>
            </w:r>
          </w:p>
        </w:tc>
        <w:tc>
          <w:tcPr>
            <w:tcW w:w="5105" w:type="dxa"/>
            <w:tcBorders>
              <w:top w:val="single" w:color="000000" w:sz="4" w:space="0"/>
              <w:left w:val="single" w:color="000000" w:sz="4" w:space="0"/>
              <w:bottom w:val="single" w:color="000000" w:sz="4" w:space="0"/>
              <w:right w:val="single" w:color="000000" w:sz="4" w:space="0"/>
            </w:tcBorders>
          </w:tcPr>
          <w:p w14:paraId="725AECC4">
            <w:pPr>
              <w:spacing w:after="0" w:line="259" w:lineRule="auto"/>
              <w:ind w:left="17" w:firstLine="0"/>
            </w:pPr>
            <w:r>
              <w:t>Commission for over the counter (OTC) trading</w:t>
            </w:r>
          </w:p>
        </w:tc>
        <w:tc>
          <w:tcPr>
            <w:tcW w:w="3257" w:type="dxa"/>
            <w:tcBorders>
              <w:top w:val="single" w:color="000000" w:sz="4" w:space="0"/>
              <w:left w:val="single" w:color="000000" w:sz="4" w:space="0"/>
              <w:bottom w:val="single" w:color="000000" w:sz="4" w:space="0"/>
              <w:right w:val="single" w:color="000000" w:sz="4" w:space="0"/>
            </w:tcBorders>
          </w:tcPr>
          <w:p w14:paraId="2539FD5C">
            <w:pPr>
              <w:spacing w:after="0" w:line="259" w:lineRule="auto"/>
              <w:ind w:left="19" w:firstLine="0"/>
            </w:pPr>
            <w:r>
              <w:t xml:space="preserve">Maximum commission: Up to 5% of the transaction value. </w:t>
            </w:r>
          </w:p>
        </w:tc>
      </w:tr>
      <w:tr w14:paraId="2E0A958B">
        <w:tblPrEx>
          <w:tblCellMar>
            <w:top w:w="50" w:type="dxa"/>
            <w:left w:w="107" w:type="dxa"/>
            <w:bottom w:w="0" w:type="dxa"/>
            <w:right w:w="58" w:type="dxa"/>
          </w:tblCellMar>
        </w:tblPrEx>
        <w:trPr>
          <w:trHeight w:val="634" w:hRule="atLeast"/>
        </w:trPr>
        <w:tc>
          <w:tcPr>
            <w:tcW w:w="850" w:type="dxa"/>
            <w:tcBorders>
              <w:top w:val="single" w:color="000000" w:sz="4" w:space="0"/>
              <w:left w:val="single" w:color="000000" w:sz="4" w:space="0"/>
              <w:bottom w:val="single" w:color="000000" w:sz="4" w:space="0"/>
              <w:right w:val="single" w:color="000000" w:sz="4" w:space="0"/>
            </w:tcBorders>
          </w:tcPr>
          <w:p w14:paraId="3501BB1E">
            <w:pPr>
              <w:spacing w:after="0" w:line="259" w:lineRule="auto"/>
              <w:ind w:left="0" w:right="276" w:firstLine="0"/>
              <w:jc w:val="center"/>
            </w:pPr>
            <w:r>
              <w:t xml:space="preserve">15.  </w:t>
            </w:r>
          </w:p>
        </w:tc>
        <w:tc>
          <w:tcPr>
            <w:tcW w:w="5105" w:type="dxa"/>
            <w:tcBorders>
              <w:top w:val="single" w:color="000000" w:sz="4" w:space="0"/>
              <w:left w:val="single" w:color="000000" w:sz="4" w:space="0"/>
              <w:bottom w:val="single" w:color="000000" w:sz="4" w:space="0"/>
              <w:right w:val="single" w:color="000000" w:sz="4" w:space="0"/>
            </w:tcBorders>
          </w:tcPr>
          <w:p w14:paraId="1E74371B">
            <w:pPr>
              <w:spacing w:after="0" w:line="259" w:lineRule="auto"/>
              <w:ind w:left="17" w:firstLine="0"/>
            </w:pPr>
            <w:r>
              <w:t xml:space="preserve">Commission for brokering the sale/purchase of shares through takeover bids </w:t>
            </w:r>
          </w:p>
        </w:tc>
        <w:tc>
          <w:tcPr>
            <w:tcW w:w="3257" w:type="dxa"/>
            <w:tcBorders>
              <w:top w:val="single" w:color="000000" w:sz="4" w:space="0"/>
              <w:left w:val="single" w:color="000000" w:sz="4" w:space="0"/>
              <w:bottom w:val="single" w:color="000000" w:sz="4" w:space="0"/>
              <w:right w:val="single" w:color="000000" w:sz="4" w:space="0"/>
            </w:tcBorders>
          </w:tcPr>
          <w:p w14:paraId="6B72CC0A">
            <w:pPr>
              <w:spacing w:after="0" w:line="259" w:lineRule="auto"/>
              <w:ind w:left="19" w:firstLine="0"/>
            </w:pPr>
            <w:r>
              <w:t xml:space="preserve">Maximum commission: Up to 5% of the total transaction value. </w:t>
            </w:r>
          </w:p>
        </w:tc>
      </w:tr>
      <w:tr w14:paraId="4E264559">
        <w:tblPrEx>
          <w:tblCellMar>
            <w:top w:w="50" w:type="dxa"/>
            <w:left w:w="107" w:type="dxa"/>
            <w:bottom w:w="0" w:type="dxa"/>
            <w:right w:w="58" w:type="dxa"/>
          </w:tblCellMar>
        </w:tblPrEx>
        <w:trPr>
          <w:trHeight w:val="1142" w:hRule="atLeast"/>
        </w:trPr>
        <w:tc>
          <w:tcPr>
            <w:tcW w:w="850" w:type="dxa"/>
            <w:tcBorders>
              <w:top w:val="single" w:color="000000" w:sz="4" w:space="0"/>
              <w:left w:val="single" w:color="000000" w:sz="4" w:space="0"/>
              <w:bottom w:val="single" w:color="000000" w:sz="4" w:space="0"/>
              <w:right w:val="single" w:color="000000" w:sz="4" w:space="0"/>
            </w:tcBorders>
          </w:tcPr>
          <w:p w14:paraId="6717BD5A">
            <w:pPr>
              <w:spacing w:after="0" w:line="259" w:lineRule="auto"/>
              <w:ind w:left="0" w:right="276" w:firstLine="0"/>
              <w:jc w:val="center"/>
            </w:pPr>
            <w:r>
              <w:t xml:space="preserve">16.  </w:t>
            </w:r>
          </w:p>
        </w:tc>
        <w:tc>
          <w:tcPr>
            <w:tcW w:w="5105" w:type="dxa"/>
            <w:tcBorders>
              <w:top w:val="single" w:color="000000" w:sz="4" w:space="0"/>
              <w:left w:val="single" w:color="000000" w:sz="4" w:space="0"/>
              <w:bottom w:val="single" w:color="000000" w:sz="4" w:space="0"/>
              <w:right w:val="single" w:color="000000" w:sz="4" w:space="0"/>
            </w:tcBorders>
          </w:tcPr>
          <w:p w14:paraId="14C806F5">
            <w:pPr>
              <w:spacing w:after="0" w:line="259" w:lineRule="auto"/>
              <w:ind w:left="17" w:firstLine="0"/>
              <w:jc w:val="left"/>
            </w:pPr>
            <w:r>
              <w:t>Commission for trading FIs of foreign issuers</w:t>
            </w:r>
          </w:p>
        </w:tc>
        <w:tc>
          <w:tcPr>
            <w:tcW w:w="3257" w:type="dxa"/>
            <w:tcBorders>
              <w:top w:val="single" w:color="000000" w:sz="4" w:space="0"/>
              <w:left w:val="single" w:color="000000" w:sz="4" w:space="0"/>
              <w:bottom w:val="single" w:color="000000" w:sz="4" w:space="0"/>
              <w:right w:val="single" w:color="000000" w:sz="4" w:space="0"/>
            </w:tcBorders>
          </w:tcPr>
          <w:p w14:paraId="47F6479E">
            <w:pPr>
              <w:spacing w:after="0" w:line="238" w:lineRule="auto"/>
              <w:ind w:left="19" w:right="49" w:firstLine="0"/>
            </w:pPr>
            <w:r>
              <w:t xml:space="preserve">Maximum commission: Up to 2% of the market value of the transaction, as per the analytics provided in Table 3 and Table 4 below </w:t>
            </w:r>
          </w:p>
        </w:tc>
      </w:tr>
    </w:tbl>
    <w:p w14:paraId="2D3F5614">
      <w:pPr>
        <w:spacing w:after="98" w:line="259" w:lineRule="auto"/>
        <w:ind w:left="0" w:firstLine="0"/>
        <w:jc w:val="left"/>
      </w:pPr>
      <w:r>
        <w:t xml:space="preserve"> </w:t>
      </w:r>
    </w:p>
    <w:p w14:paraId="71D60292">
      <w:pPr>
        <w:pStyle w:val="2"/>
        <w:spacing w:after="0"/>
        <w:ind w:left="-5"/>
      </w:pPr>
      <w:r>
        <w:rPr>
          <w:b w:val="0"/>
        </w:rPr>
        <w:t xml:space="preserve">Table 1 - </w:t>
      </w:r>
      <w:r>
        <w:t xml:space="preserve">Commission for trading equity financial instruments in the domestic organised market </w:t>
      </w:r>
    </w:p>
    <w:tbl>
      <w:tblPr>
        <w:tblStyle w:val="10"/>
        <w:tblW w:w="9636" w:type="dxa"/>
        <w:tblInd w:w="5" w:type="dxa"/>
        <w:tblLayout w:type="autofit"/>
        <w:tblCellMar>
          <w:top w:w="74" w:type="dxa"/>
          <w:left w:w="111" w:type="dxa"/>
          <w:bottom w:w="0" w:type="dxa"/>
          <w:right w:w="59" w:type="dxa"/>
        </w:tblCellMar>
      </w:tblPr>
      <w:tblGrid>
        <w:gridCol w:w="5960"/>
        <w:gridCol w:w="1549"/>
        <w:gridCol w:w="2127"/>
      </w:tblGrid>
      <w:tr w14:paraId="142285A4">
        <w:tblPrEx>
          <w:tblCellMar>
            <w:top w:w="74" w:type="dxa"/>
            <w:left w:w="111" w:type="dxa"/>
            <w:bottom w:w="0" w:type="dxa"/>
            <w:right w:w="59" w:type="dxa"/>
          </w:tblCellMar>
        </w:tblPrEx>
        <w:trPr>
          <w:trHeight w:val="941" w:hRule="atLeast"/>
        </w:trPr>
        <w:tc>
          <w:tcPr>
            <w:tcW w:w="5961" w:type="dxa"/>
            <w:tcBorders>
              <w:top w:val="single" w:color="000000" w:sz="4" w:space="0"/>
              <w:left w:val="single" w:color="000000" w:sz="4" w:space="0"/>
              <w:bottom w:val="double" w:color="000000" w:sz="6" w:space="0"/>
              <w:right w:val="single" w:color="000000" w:sz="4" w:space="0"/>
            </w:tcBorders>
            <w:vAlign w:val="center"/>
          </w:tcPr>
          <w:p w14:paraId="3A2D9BEB">
            <w:pPr>
              <w:spacing w:after="0" w:line="259" w:lineRule="auto"/>
              <w:ind w:left="0" w:right="50" w:firstLine="0"/>
              <w:jc w:val="center"/>
            </w:pPr>
            <w:r>
              <w:rPr>
                <w:b/>
              </w:rPr>
              <w:t xml:space="preserve">BASIS FOR COMMISSION CALCULATION* </w:t>
            </w:r>
          </w:p>
        </w:tc>
        <w:tc>
          <w:tcPr>
            <w:tcW w:w="1549" w:type="dxa"/>
            <w:tcBorders>
              <w:top w:val="single" w:color="000000" w:sz="4" w:space="0"/>
              <w:left w:val="single" w:color="000000" w:sz="4" w:space="0"/>
              <w:bottom w:val="double" w:color="000000" w:sz="6" w:space="0"/>
              <w:right w:val="single" w:color="000000" w:sz="4" w:space="0"/>
            </w:tcBorders>
            <w:vAlign w:val="center"/>
          </w:tcPr>
          <w:p w14:paraId="02C34A09">
            <w:pPr>
              <w:spacing w:after="0" w:line="259" w:lineRule="auto"/>
              <w:ind w:left="0" w:right="51" w:firstLine="0"/>
              <w:jc w:val="center"/>
            </w:pPr>
            <w:r>
              <w:rPr>
                <w:b/>
              </w:rPr>
              <w:t xml:space="preserve">Commission  </w:t>
            </w:r>
          </w:p>
        </w:tc>
        <w:tc>
          <w:tcPr>
            <w:tcW w:w="2127" w:type="dxa"/>
            <w:tcBorders>
              <w:top w:val="single" w:color="000000" w:sz="4" w:space="0"/>
              <w:left w:val="single" w:color="000000" w:sz="4" w:space="0"/>
              <w:bottom w:val="double" w:color="000000" w:sz="6" w:space="0"/>
              <w:right w:val="single" w:color="000000" w:sz="4" w:space="0"/>
            </w:tcBorders>
          </w:tcPr>
          <w:p w14:paraId="18FBEF92">
            <w:pPr>
              <w:spacing w:after="0" w:line="259" w:lineRule="auto"/>
              <w:ind w:left="14" w:hanging="14"/>
              <w:jc w:val="center"/>
            </w:pPr>
            <w:r>
              <w:rPr>
                <w:b/>
              </w:rPr>
              <w:t xml:space="preserve">Commission for trading via mobile application </w:t>
            </w:r>
          </w:p>
        </w:tc>
      </w:tr>
      <w:tr w14:paraId="57A74E0C">
        <w:tblPrEx>
          <w:tblCellMar>
            <w:top w:w="74" w:type="dxa"/>
            <w:left w:w="111" w:type="dxa"/>
            <w:bottom w:w="0" w:type="dxa"/>
            <w:right w:w="59" w:type="dxa"/>
          </w:tblCellMar>
        </w:tblPrEx>
        <w:trPr>
          <w:trHeight w:val="643" w:hRule="atLeast"/>
        </w:trPr>
        <w:tc>
          <w:tcPr>
            <w:tcW w:w="5961" w:type="dxa"/>
            <w:tcBorders>
              <w:top w:val="double" w:color="000000" w:sz="6" w:space="0"/>
              <w:left w:val="single" w:color="000000" w:sz="4" w:space="0"/>
              <w:bottom w:val="single" w:color="000000" w:sz="4" w:space="0"/>
              <w:right w:val="single" w:color="000000" w:sz="4" w:space="0"/>
            </w:tcBorders>
          </w:tcPr>
          <w:p w14:paraId="0B6DA7A4">
            <w:pPr>
              <w:spacing w:after="0" w:line="259" w:lineRule="auto"/>
              <w:ind w:left="0" w:firstLine="0"/>
            </w:pPr>
            <w:r>
              <w:t xml:space="preserve">&gt; EUR 500,000 of portfolio value or minimum charged commission of EUR 250 in a one-year period  </w:t>
            </w:r>
          </w:p>
        </w:tc>
        <w:tc>
          <w:tcPr>
            <w:tcW w:w="1549" w:type="dxa"/>
            <w:tcBorders>
              <w:top w:val="double" w:color="000000" w:sz="6" w:space="0"/>
              <w:left w:val="single" w:color="000000" w:sz="4" w:space="0"/>
              <w:bottom w:val="single" w:color="000000" w:sz="4" w:space="0"/>
              <w:right w:val="single" w:color="000000" w:sz="4" w:space="0"/>
            </w:tcBorders>
            <w:vAlign w:val="center"/>
          </w:tcPr>
          <w:p w14:paraId="08C507DD">
            <w:pPr>
              <w:spacing w:after="0" w:line="259" w:lineRule="auto"/>
              <w:ind w:left="0" w:right="47" w:firstLine="0"/>
              <w:jc w:val="center"/>
            </w:pPr>
            <w:r>
              <w:t xml:space="preserve">0.20 % </w:t>
            </w:r>
          </w:p>
        </w:tc>
        <w:tc>
          <w:tcPr>
            <w:tcW w:w="2127" w:type="dxa"/>
            <w:tcBorders>
              <w:top w:val="double" w:color="000000" w:sz="6" w:space="0"/>
              <w:left w:val="single" w:color="000000" w:sz="4" w:space="0"/>
              <w:bottom w:val="single" w:color="000000" w:sz="4" w:space="0"/>
              <w:right w:val="single" w:color="000000" w:sz="4" w:space="0"/>
            </w:tcBorders>
            <w:vAlign w:val="center"/>
          </w:tcPr>
          <w:p w14:paraId="09CB4F21">
            <w:pPr>
              <w:spacing w:after="0" w:line="259" w:lineRule="auto"/>
              <w:ind w:left="0" w:right="45" w:firstLine="0"/>
              <w:jc w:val="center"/>
            </w:pPr>
            <w:r>
              <w:t xml:space="preserve">0.15 % </w:t>
            </w:r>
          </w:p>
        </w:tc>
      </w:tr>
      <w:tr w14:paraId="5D96788F">
        <w:tblPrEx>
          <w:tblCellMar>
            <w:top w:w="74" w:type="dxa"/>
            <w:left w:w="111" w:type="dxa"/>
            <w:bottom w:w="0" w:type="dxa"/>
            <w:right w:w="59" w:type="dxa"/>
          </w:tblCellMar>
        </w:tblPrEx>
        <w:trPr>
          <w:trHeight w:val="610" w:hRule="atLeast"/>
        </w:trPr>
        <w:tc>
          <w:tcPr>
            <w:tcW w:w="5961" w:type="dxa"/>
            <w:tcBorders>
              <w:top w:val="single" w:color="000000" w:sz="4" w:space="0"/>
              <w:left w:val="single" w:color="000000" w:sz="4" w:space="0"/>
              <w:bottom w:val="single" w:color="000000" w:sz="4" w:space="0"/>
              <w:right w:val="single" w:color="000000" w:sz="4" w:space="0"/>
            </w:tcBorders>
          </w:tcPr>
          <w:p w14:paraId="486A10E1">
            <w:pPr>
              <w:spacing w:after="0" w:line="259" w:lineRule="auto"/>
              <w:ind w:left="0" w:firstLine="0"/>
            </w:pPr>
            <w:r>
              <w:t xml:space="preserve">&gt; EUR 100,000 of portfolio value or minimum charged commission of EUR 150 in a one-year period </w:t>
            </w:r>
          </w:p>
        </w:tc>
        <w:tc>
          <w:tcPr>
            <w:tcW w:w="1549" w:type="dxa"/>
            <w:tcBorders>
              <w:top w:val="single" w:color="000000" w:sz="4" w:space="0"/>
              <w:left w:val="single" w:color="000000" w:sz="4" w:space="0"/>
              <w:bottom w:val="single" w:color="000000" w:sz="4" w:space="0"/>
              <w:right w:val="single" w:color="000000" w:sz="4" w:space="0"/>
            </w:tcBorders>
            <w:vAlign w:val="center"/>
          </w:tcPr>
          <w:p w14:paraId="28165E82">
            <w:pPr>
              <w:spacing w:after="0" w:line="259" w:lineRule="auto"/>
              <w:ind w:left="0" w:right="45" w:firstLine="0"/>
              <w:jc w:val="center"/>
            </w:pPr>
            <w:r>
              <w:t xml:space="preserve">0.30% </w:t>
            </w:r>
          </w:p>
        </w:tc>
        <w:tc>
          <w:tcPr>
            <w:tcW w:w="2127" w:type="dxa"/>
            <w:tcBorders>
              <w:top w:val="single" w:color="000000" w:sz="4" w:space="0"/>
              <w:left w:val="single" w:color="000000" w:sz="4" w:space="0"/>
              <w:bottom w:val="single" w:color="000000" w:sz="4" w:space="0"/>
              <w:right w:val="single" w:color="000000" w:sz="4" w:space="0"/>
            </w:tcBorders>
            <w:vAlign w:val="center"/>
          </w:tcPr>
          <w:p w14:paraId="7D3461BD">
            <w:pPr>
              <w:spacing w:after="0" w:line="259" w:lineRule="auto"/>
              <w:ind w:left="0" w:right="47" w:firstLine="0"/>
              <w:jc w:val="center"/>
            </w:pPr>
            <w:r>
              <w:t xml:space="preserve">0.20% </w:t>
            </w:r>
          </w:p>
        </w:tc>
      </w:tr>
      <w:tr w14:paraId="30E1C91C">
        <w:tblPrEx>
          <w:tblCellMar>
            <w:top w:w="74" w:type="dxa"/>
            <w:left w:w="111" w:type="dxa"/>
            <w:bottom w:w="0" w:type="dxa"/>
            <w:right w:w="59" w:type="dxa"/>
          </w:tblCellMar>
        </w:tblPrEx>
        <w:trPr>
          <w:trHeight w:val="612" w:hRule="atLeast"/>
        </w:trPr>
        <w:tc>
          <w:tcPr>
            <w:tcW w:w="5961" w:type="dxa"/>
            <w:tcBorders>
              <w:top w:val="single" w:color="000000" w:sz="4" w:space="0"/>
              <w:left w:val="single" w:color="000000" w:sz="4" w:space="0"/>
              <w:bottom w:val="single" w:color="000000" w:sz="4" w:space="0"/>
              <w:right w:val="single" w:color="000000" w:sz="4" w:space="0"/>
            </w:tcBorders>
          </w:tcPr>
          <w:p w14:paraId="709BEB2D">
            <w:pPr>
              <w:spacing w:after="0" w:line="259" w:lineRule="auto"/>
              <w:ind w:left="0" w:firstLine="0"/>
            </w:pPr>
            <w:r>
              <w:t xml:space="preserve">&gt;EUR 50,000 - 100,000 of portfolio value or minimum charged commission of EUR 100 in a one-year period </w:t>
            </w:r>
          </w:p>
        </w:tc>
        <w:tc>
          <w:tcPr>
            <w:tcW w:w="1549" w:type="dxa"/>
            <w:tcBorders>
              <w:top w:val="single" w:color="000000" w:sz="4" w:space="0"/>
              <w:left w:val="single" w:color="000000" w:sz="4" w:space="0"/>
              <w:bottom w:val="single" w:color="000000" w:sz="4" w:space="0"/>
              <w:right w:val="single" w:color="000000" w:sz="4" w:space="0"/>
            </w:tcBorders>
            <w:vAlign w:val="center"/>
          </w:tcPr>
          <w:p w14:paraId="289A0666">
            <w:pPr>
              <w:spacing w:after="0" w:line="259" w:lineRule="auto"/>
              <w:ind w:left="0" w:right="45" w:firstLine="0"/>
              <w:jc w:val="center"/>
            </w:pPr>
            <w:r>
              <w:t xml:space="preserve">0.50% </w:t>
            </w:r>
          </w:p>
        </w:tc>
        <w:tc>
          <w:tcPr>
            <w:tcW w:w="2127" w:type="dxa"/>
            <w:tcBorders>
              <w:top w:val="single" w:color="000000" w:sz="4" w:space="0"/>
              <w:left w:val="single" w:color="000000" w:sz="4" w:space="0"/>
              <w:bottom w:val="single" w:color="000000" w:sz="4" w:space="0"/>
              <w:right w:val="single" w:color="000000" w:sz="4" w:space="0"/>
            </w:tcBorders>
            <w:vAlign w:val="center"/>
          </w:tcPr>
          <w:p w14:paraId="37F44402">
            <w:pPr>
              <w:spacing w:after="0" w:line="259" w:lineRule="auto"/>
              <w:ind w:left="0" w:right="47" w:firstLine="0"/>
              <w:jc w:val="center"/>
            </w:pPr>
            <w:r>
              <w:t xml:space="preserve">0.30% </w:t>
            </w:r>
          </w:p>
        </w:tc>
      </w:tr>
      <w:tr w14:paraId="11E4112E">
        <w:tblPrEx>
          <w:tblCellMar>
            <w:top w:w="74" w:type="dxa"/>
            <w:left w:w="111" w:type="dxa"/>
            <w:bottom w:w="0" w:type="dxa"/>
            <w:right w:w="59" w:type="dxa"/>
          </w:tblCellMar>
        </w:tblPrEx>
        <w:trPr>
          <w:trHeight w:val="610" w:hRule="atLeast"/>
        </w:trPr>
        <w:tc>
          <w:tcPr>
            <w:tcW w:w="5961" w:type="dxa"/>
            <w:tcBorders>
              <w:top w:val="single" w:color="000000" w:sz="4" w:space="0"/>
              <w:left w:val="single" w:color="000000" w:sz="4" w:space="0"/>
              <w:bottom w:val="single" w:color="000000" w:sz="4" w:space="0"/>
              <w:right w:val="single" w:color="000000" w:sz="4" w:space="0"/>
            </w:tcBorders>
          </w:tcPr>
          <w:p w14:paraId="60ECFC7B">
            <w:pPr>
              <w:spacing w:after="0" w:line="259" w:lineRule="auto"/>
              <w:ind w:left="0" w:firstLine="0"/>
            </w:pPr>
            <w:r>
              <w:t xml:space="preserve">&gt;EUR 30,000 - 50,000 of portfolio value or minimum charged commission of EUR 80 in a one-year period </w:t>
            </w:r>
          </w:p>
        </w:tc>
        <w:tc>
          <w:tcPr>
            <w:tcW w:w="1549" w:type="dxa"/>
            <w:tcBorders>
              <w:top w:val="single" w:color="000000" w:sz="4" w:space="0"/>
              <w:left w:val="single" w:color="000000" w:sz="4" w:space="0"/>
              <w:bottom w:val="single" w:color="000000" w:sz="4" w:space="0"/>
              <w:right w:val="single" w:color="000000" w:sz="4" w:space="0"/>
            </w:tcBorders>
            <w:vAlign w:val="center"/>
          </w:tcPr>
          <w:p w14:paraId="7E9ED532">
            <w:pPr>
              <w:spacing w:after="0" w:line="259" w:lineRule="auto"/>
              <w:ind w:left="0" w:right="45" w:firstLine="0"/>
              <w:jc w:val="center"/>
            </w:pPr>
            <w:r>
              <w:t xml:space="preserve">0.80% </w:t>
            </w:r>
          </w:p>
        </w:tc>
        <w:tc>
          <w:tcPr>
            <w:tcW w:w="2127" w:type="dxa"/>
            <w:tcBorders>
              <w:top w:val="single" w:color="000000" w:sz="4" w:space="0"/>
              <w:left w:val="single" w:color="000000" w:sz="4" w:space="0"/>
              <w:bottom w:val="single" w:color="000000" w:sz="4" w:space="0"/>
              <w:right w:val="single" w:color="000000" w:sz="4" w:space="0"/>
            </w:tcBorders>
            <w:vAlign w:val="center"/>
          </w:tcPr>
          <w:p w14:paraId="2E65C930">
            <w:pPr>
              <w:spacing w:after="0" w:line="259" w:lineRule="auto"/>
              <w:ind w:left="0" w:right="47" w:firstLine="0"/>
              <w:jc w:val="center"/>
            </w:pPr>
            <w:r>
              <w:t xml:space="preserve">0.50% </w:t>
            </w:r>
          </w:p>
        </w:tc>
      </w:tr>
      <w:tr w14:paraId="21FF220A">
        <w:tblPrEx>
          <w:tblCellMar>
            <w:top w:w="74" w:type="dxa"/>
            <w:left w:w="111" w:type="dxa"/>
            <w:bottom w:w="0" w:type="dxa"/>
            <w:right w:w="59" w:type="dxa"/>
          </w:tblCellMar>
        </w:tblPrEx>
        <w:trPr>
          <w:trHeight w:val="610" w:hRule="atLeast"/>
        </w:trPr>
        <w:tc>
          <w:tcPr>
            <w:tcW w:w="5961" w:type="dxa"/>
            <w:tcBorders>
              <w:top w:val="single" w:color="000000" w:sz="4" w:space="0"/>
              <w:left w:val="single" w:color="000000" w:sz="4" w:space="0"/>
              <w:bottom w:val="single" w:color="000000" w:sz="4" w:space="0"/>
              <w:right w:val="single" w:color="000000" w:sz="4" w:space="0"/>
            </w:tcBorders>
          </w:tcPr>
          <w:p w14:paraId="7573C3E9">
            <w:pPr>
              <w:spacing w:after="0" w:line="259" w:lineRule="auto"/>
              <w:ind w:left="0" w:firstLine="0"/>
            </w:pPr>
            <w:r>
              <w:t xml:space="preserve">&gt;EUR 10,000 - 30,000 of portfolio value or minimum charged commission of EUR 50 in a one-year period </w:t>
            </w:r>
          </w:p>
        </w:tc>
        <w:tc>
          <w:tcPr>
            <w:tcW w:w="1549" w:type="dxa"/>
            <w:tcBorders>
              <w:top w:val="single" w:color="000000" w:sz="4" w:space="0"/>
              <w:left w:val="single" w:color="000000" w:sz="4" w:space="0"/>
              <w:bottom w:val="single" w:color="000000" w:sz="4" w:space="0"/>
              <w:right w:val="single" w:color="000000" w:sz="4" w:space="0"/>
            </w:tcBorders>
            <w:vAlign w:val="center"/>
          </w:tcPr>
          <w:p w14:paraId="752FB64E">
            <w:pPr>
              <w:spacing w:after="0" w:line="259" w:lineRule="auto"/>
              <w:ind w:left="0" w:right="47" w:firstLine="0"/>
              <w:jc w:val="center"/>
            </w:pPr>
            <w:r>
              <w:t xml:space="preserve">1% </w:t>
            </w:r>
          </w:p>
        </w:tc>
        <w:tc>
          <w:tcPr>
            <w:tcW w:w="2127" w:type="dxa"/>
            <w:tcBorders>
              <w:top w:val="single" w:color="000000" w:sz="4" w:space="0"/>
              <w:left w:val="single" w:color="000000" w:sz="4" w:space="0"/>
              <w:bottom w:val="single" w:color="000000" w:sz="4" w:space="0"/>
              <w:right w:val="single" w:color="000000" w:sz="4" w:space="0"/>
            </w:tcBorders>
            <w:vAlign w:val="center"/>
          </w:tcPr>
          <w:p w14:paraId="4271C77F">
            <w:pPr>
              <w:spacing w:after="0" w:line="259" w:lineRule="auto"/>
              <w:ind w:left="0" w:right="47" w:firstLine="0"/>
              <w:jc w:val="center"/>
            </w:pPr>
            <w:r>
              <w:t xml:space="preserve">0.8% </w:t>
            </w:r>
          </w:p>
        </w:tc>
      </w:tr>
      <w:tr w14:paraId="5145C913">
        <w:tblPrEx>
          <w:tblCellMar>
            <w:top w:w="74" w:type="dxa"/>
            <w:left w:w="111" w:type="dxa"/>
            <w:bottom w:w="0" w:type="dxa"/>
            <w:right w:w="59" w:type="dxa"/>
          </w:tblCellMar>
        </w:tblPrEx>
        <w:trPr>
          <w:trHeight w:val="310" w:hRule="atLeast"/>
        </w:trPr>
        <w:tc>
          <w:tcPr>
            <w:tcW w:w="5961" w:type="dxa"/>
            <w:tcBorders>
              <w:top w:val="single" w:color="000000" w:sz="4" w:space="0"/>
              <w:left w:val="single" w:color="000000" w:sz="4" w:space="0"/>
              <w:bottom w:val="single" w:color="000000" w:sz="4" w:space="0"/>
              <w:right w:val="single" w:color="000000" w:sz="4" w:space="0"/>
            </w:tcBorders>
          </w:tcPr>
          <w:p w14:paraId="53C9975F">
            <w:pPr>
              <w:spacing w:after="0" w:line="259" w:lineRule="auto"/>
              <w:ind w:left="0" w:firstLine="0"/>
              <w:jc w:val="left"/>
            </w:pPr>
            <w:r>
              <w:t xml:space="preserve">&lt;EUR 10,000 or if no transactions over a one-year period </w:t>
            </w:r>
          </w:p>
        </w:tc>
        <w:tc>
          <w:tcPr>
            <w:tcW w:w="1549" w:type="dxa"/>
            <w:tcBorders>
              <w:top w:val="single" w:color="000000" w:sz="4" w:space="0"/>
              <w:left w:val="single" w:color="000000" w:sz="4" w:space="0"/>
              <w:bottom w:val="single" w:color="000000" w:sz="4" w:space="0"/>
              <w:right w:val="single" w:color="000000" w:sz="4" w:space="0"/>
            </w:tcBorders>
          </w:tcPr>
          <w:p w14:paraId="77C10B1F">
            <w:pPr>
              <w:spacing w:after="0" w:line="259" w:lineRule="auto"/>
              <w:ind w:left="0" w:right="47" w:firstLine="0"/>
              <w:jc w:val="center"/>
            </w:pPr>
            <w:r>
              <w:t xml:space="preserve">2% </w:t>
            </w:r>
          </w:p>
        </w:tc>
        <w:tc>
          <w:tcPr>
            <w:tcW w:w="2127" w:type="dxa"/>
            <w:tcBorders>
              <w:top w:val="single" w:color="000000" w:sz="4" w:space="0"/>
              <w:left w:val="single" w:color="000000" w:sz="4" w:space="0"/>
              <w:bottom w:val="single" w:color="000000" w:sz="4" w:space="0"/>
              <w:right w:val="single" w:color="000000" w:sz="4" w:space="0"/>
            </w:tcBorders>
          </w:tcPr>
          <w:p w14:paraId="43D4AEE1">
            <w:pPr>
              <w:spacing w:after="0" w:line="259" w:lineRule="auto"/>
              <w:ind w:left="0" w:right="50" w:firstLine="0"/>
              <w:jc w:val="center"/>
            </w:pPr>
            <w:r>
              <w:t xml:space="preserve">1% </w:t>
            </w:r>
          </w:p>
        </w:tc>
      </w:tr>
    </w:tbl>
    <w:p w14:paraId="7D3FC7D9">
      <w:pPr>
        <w:spacing w:after="3" w:line="259" w:lineRule="auto"/>
        <w:ind w:left="-5"/>
        <w:jc w:val="left"/>
      </w:pPr>
      <w:r>
        <w:rPr>
          <w:i/>
        </w:rPr>
        <w:t xml:space="preserve">* Basis for calculation is the NBS middle exchange rate on the calculation date </w:t>
      </w:r>
    </w:p>
    <w:p w14:paraId="12E2C9E5">
      <w:pPr>
        <w:spacing w:after="98" w:line="259" w:lineRule="auto"/>
        <w:ind w:left="0" w:firstLine="0"/>
        <w:jc w:val="left"/>
      </w:pPr>
      <w:r>
        <w:rPr>
          <w:i/>
        </w:rPr>
        <w:t xml:space="preserve"> </w:t>
      </w:r>
    </w:p>
    <w:p w14:paraId="216805A0">
      <w:pPr>
        <w:pStyle w:val="2"/>
        <w:spacing w:after="0"/>
        <w:ind w:left="-5"/>
      </w:pPr>
      <w:r>
        <w:rPr>
          <w:b w:val="0"/>
        </w:rPr>
        <w:t xml:space="preserve">Table 2 - </w:t>
      </w:r>
      <w:r>
        <w:t>Commission for trading debt financial instruments in the domestic organised market in secondary trading</w:t>
      </w:r>
    </w:p>
    <w:tbl>
      <w:tblPr>
        <w:tblStyle w:val="10"/>
        <w:tblW w:w="9636" w:type="dxa"/>
        <w:tblInd w:w="5" w:type="dxa"/>
        <w:tblLayout w:type="autofit"/>
        <w:tblCellMar>
          <w:top w:w="74" w:type="dxa"/>
          <w:left w:w="111" w:type="dxa"/>
          <w:bottom w:w="0" w:type="dxa"/>
          <w:right w:w="87" w:type="dxa"/>
        </w:tblCellMar>
      </w:tblPr>
      <w:tblGrid>
        <w:gridCol w:w="5951"/>
        <w:gridCol w:w="1558"/>
        <w:gridCol w:w="2127"/>
      </w:tblGrid>
      <w:tr w14:paraId="6F1A9260">
        <w:tblPrEx>
          <w:tblCellMar>
            <w:top w:w="74" w:type="dxa"/>
            <w:left w:w="111" w:type="dxa"/>
            <w:bottom w:w="0" w:type="dxa"/>
            <w:right w:w="87" w:type="dxa"/>
          </w:tblCellMar>
        </w:tblPrEx>
        <w:trPr>
          <w:trHeight w:val="878" w:hRule="atLeast"/>
        </w:trPr>
        <w:tc>
          <w:tcPr>
            <w:tcW w:w="5951" w:type="dxa"/>
            <w:tcBorders>
              <w:top w:val="single" w:color="000000" w:sz="4" w:space="0"/>
              <w:left w:val="single" w:color="000000" w:sz="4" w:space="0"/>
              <w:bottom w:val="double" w:color="000000" w:sz="6" w:space="0"/>
              <w:right w:val="single" w:color="000000" w:sz="4" w:space="0"/>
            </w:tcBorders>
            <w:vAlign w:val="center"/>
          </w:tcPr>
          <w:p w14:paraId="2EAC7DC7">
            <w:pPr>
              <w:spacing w:after="0" w:line="259" w:lineRule="auto"/>
              <w:ind w:left="0" w:right="22" w:firstLine="0"/>
              <w:jc w:val="center"/>
            </w:pPr>
            <w:r>
              <w:rPr>
                <w:b/>
              </w:rPr>
              <w:t xml:space="preserve">BASIS FOR COMMISSION CALCULATION* </w:t>
            </w:r>
          </w:p>
        </w:tc>
        <w:tc>
          <w:tcPr>
            <w:tcW w:w="1558" w:type="dxa"/>
            <w:tcBorders>
              <w:top w:val="single" w:color="000000" w:sz="4" w:space="0"/>
              <w:left w:val="single" w:color="000000" w:sz="4" w:space="0"/>
              <w:bottom w:val="double" w:color="000000" w:sz="6" w:space="0"/>
              <w:right w:val="single" w:color="000000" w:sz="4" w:space="0"/>
            </w:tcBorders>
            <w:vAlign w:val="center"/>
          </w:tcPr>
          <w:p w14:paraId="2A620D0B">
            <w:pPr>
              <w:spacing w:after="0" w:line="259" w:lineRule="auto"/>
              <w:ind w:left="0" w:right="22" w:firstLine="0"/>
              <w:jc w:val="center"/>
            </w:pPr>
            <w:r>
              <w:rPr>
                <w:b/>
              </w:rPr>
              <w:t xml:space="preserve">Commission </w:t>
            </w:r>
          </w:p>
        </w:tc>
        <w:tc>
          <w:tcPr>
            <w:tcW w:w="2127" w:type="dxa"/>
            <w:tcBorders>
              <w:top w:val="single" w:color="000000" w:sz="4" w:space="0"/>
              <w:left w:val="single" w:color="000000" w:sz="4" w:space="0"/>
              <w:bottom w:val="double" w:color="000000" w:sz="6" w:space="0"/>
              <w:right w:val="single" w:color="000000" w:sz="4" w:space="0"/>
            </w:tcBorders>
          </w:tcPr>
          <w:p w14:paraId="0E9B18FE">
            <w:pPr>
              <w:spacing w:after="0" w:line="259" w:lineRule="auto"/>
              <w:ind w:left="14" w:hanging="14"/>
              <w:jc w:val="center"/>
            </w:pPr>
            <w:r>
              <w:rPr>
                <w:b/>
              </w:rPr>
              <w:t xml:space="preserve">Commission for trading via mobile application </w:t>
            </w:r>
          </w:p>
        </w:tc>
      </w:tr>
      <w:tr w14:paraId="267BA7E3">
        <w:tblPrEx>
          <w:tblCellMar>
            <w:top w:w="74" w:type="dxa"/>
            <w:left w:w="111" w:type="dxa"/>
            <w:bottom w:w="0" w:type="dxa"/>
            <w:right w:w="87" w:type="dxa"/>
          </w:tblCellMar>
        </w:tblPrEx>
        <w:trPr>
          <w:trHeight w:val="343" w:hRule="atLeast"/>
        </w:trPr>
        <w:tc>
          <w:tcPr>
            <w:tcW w:w="5951" w:type="dxa"/>
            <w:tcBorders>
              <w:top w:val="double" w:color="000000" w:sz="6" w:space="0"/>
              <w:left w:val="single" w:color="000000" w:sz="4" w:space="0"/>
              <w:bottom w:val="single" w:color="000000" w:sz="4" w:space="0"/>
              <w:right w:val="single" w:color="000000" w:sz="4" w:space="0"/>
            </w:tcBorders>
          </w:tcPr>
          <w:p w14:paraId="696E5F5D">
            <w:pPr>
              <w:spacing w:after="0" w:line="259" w:lineRule="auto"/>
              <w:ind w:left="0" w:firstLine="0"/>
              <w:jc w:val="left"/>
            </w:pPr>
            <w:r>
              <w:t xml:space="preserve">&gt; EUR 500,000 nominal value in a one-year period </w:t>
            </w:r>
          </w:p>
        </w:tc>
        <w:tc>
          <w:tcPr>
            <w:tcW w:w="1558" w:type="dxa"/>
            <w:tcBorders>
              <w:top w:val="double" w:color="000000" w:sz="6" w:space="0"/>
              <w:left w:val="single" w:color="000000" w:sz="4" w:space="0"/>
              <w:bottom w:val="single" w:color="000000" w:sz="4" w:space="0"/>
              <w:right w:val="single" w:color="000000" w:sz="4" w:space="0"/>
            </w:tcBorders>
          </w:tcPr>
          <w:p w14:paraId="4A4D619B">
            <w:pPr>
              <w:spacing w:after="0" w:line="259" w:lineRule="auto"/>
              <w:ind w:left="0" w:right="22" w:firstLine="0"/>
              <w:jc w:val="center"/>
            </w:pPr>
            <w:r>
              <w:t xml:space="preserve">0.20% </w:t>
            </w:r>
          </w:p>
        </w:tc>
        <w:tc>
          <w:tcPr>
            <w:tcW w:w="2127" w:type="dxa"/>
            <w:tcBorders>
              <w:top w:val="double" w:color="000000" w:sz="6" w:space="0"/>
              <w:left w:val="single" w:color="000000" w:sz="4" w:space="0"/>
              <w:bottom w:val="single" w:color="000000" w:sz="4" w:space="0"/>
              <w:right w:val="single" w:color="000000" w:sz="4" w:space="0"/>
            </w:tcBorders>
          </w:tcPr>
          <w:p w14:paraId="15A64397">
            <w:pPr>
              <w:spacing w:after="0" w:line="259" w:lineRule="auto"/>
              <w:ind w:left="0" w:right="19" w:firstLine="0"/>
              <w:jc w:val="center"/>
            </w:pPr>
            <w:r>
              <w:t xml:space="preserve">0.15% </w:t>
            </w:r>
          </w:p>
        </w:tc>
      </w:tr>
      <w:tr w14:paraId="29768EFE">
        <w:tblPrEx>
          <w:tblCellMar>
            <w:top w:w="74" w:type="dxa"/>
            <w:left w:w="111" w:type="dxa"/>
            <w:bottom w:w="0" w:type="dxa"/>
            <w:right w:w="87" w:type="dxa"/>
          </w:tblCellMar>
        </w:tblPrEx>
        <w:trPr>
          <w:trHeight w:val="310" w:hRule="atLeast"/>
        </w:trPr>
        <w:tc>
          <w:tcPr>
            <w:tcW w:w="5951" w:type="dxa"/>
            <w:tcBorders>
              <w:top w:val="single" w:color="000000" w:sz="4" w:space="0"/>
              <w:left w:val="single" w:color="000000" w:sz="4" w:space="0"/>
              <w:bottom w:val="single" w:color="000000" w:sz="4" w:space="0"/>
              <w:right w:val="single" w:color="000000" w:sz="4" w:space="0"/>
            </w:tcBorders>
          </w:tcPr>
          <w:p w14:paraId="70E4737F">
            <w:pPr>
              <w:spacing w:after="0" w:line="259" w:lineRule="auto"/>
              <w:ind w:left="0" w:firstLine="0"/>
              <w:jc w:val="left"/>
            </w:pPr>
            <w:r>
              <w:t xml:space="preserve">&gt; EUR 100,000 - 500,000 nominal value in a one-year period </w:t>
            </w:r>
          </w:p>
        </w:tc>
        <w:tc>
          <w:tcPr>
            <w:tcW w:w="1558" w:type="dxa"/>
            <w:tcBorders>
              <w:top w:val="single" w:color="000000" w:sz="4" w:space="0"/>
              <w:left w:val="single" w:color="000000" w:sz="4" w:space="0"/>
              <w:bottom w:val="single" w:color="000000" w:sz="4" w:space="0"/>
              <w:right w:val="single" w:color="000000" w:sz="4" w:space="0"/>
            </w:tcBorders>
          </w:tcPr>
          <w:p w14:paraId="072FCCA5">
            <w:pPr>
              <w:spacing w:after="0" w:line="259" w:lineRule="auto"/>
              <w:ind w:left="0" w:right="22" w:firstLine="0"/>
              <w:jc w:val="center"/>
            </w:pPr>
            <w:r>
              <w:t xml:space="preserve">0.50% </w:t>
            </w:r>
          </w:p>
        </w:tc>
        <w:tc>
          <w:tcPr>
            <w:tcW w:w="2127" w:type="dxa"/>
            <w:tcBorders>
              <w:top w:val="single" w:color="000000" w:sz="4" w:space="0"/>
              <w:left w:val="single" w:color="000000" w:sz="4" w:space="0"/>
              <w:bottom w:val="single" w:color="000000" w:sz="4" w:space="0"/>
              <w:right w:val="single" w:color="000000" w:sz="4" w:space="0"/>
            </w:tcBorders>
          </w:tcPr>
          <w:p w14:paraId="4FCA9302">
            <w:pPr>
              <w:spacing w:after="0" w:line="259" w:lineRule="auto"/>
              <w:ind w:left="0" w:right="19" w:firstLine="0"/>
              <w:jc w:val="center"/>
            </w:pPr>
            <w:r>
              <w:t xml:space="preserve">0.30% </w:t>
            </w:r>
          </w:p>
        </w:tc>
      </w:tr>
      <w:tr w14:paraId="3DA33517">
        <w:tblPrEx>
          <w:tblCellMar>
            <w:top w:w="74" w:type="dxa"/>
            <w:left w:w="111" w:type="dxa"/>
            <w:bottom w:w="0" w:type="dxa"/>
            <w:right w:w="87" w:type="dxa"/>
          </w:tblCellMar>
        </w:tblPrEx>
        <w:trPr>
          <w:trHeight w:val="310" w:hRule="atLeast"/>
        </w:trPr>
        <w:tc>
          <w:tcPr>
            <w:tcW w:w="5951" w:type="dxa"/>
            <w:tcBorders>
              <w:top w:val="single" w:color="000000" w:sz="4" w:space="0"/>
              <w:left w:val="single" w:color="000000" w:sz="4" w:space="0"/>
              <w:bottom w:val="single" w:color="000000" w:sz="4" w:space="0"/>
              <w:right w:val="single" w:color="000000" w:sz="4" w:space="0"/>
            </w:tcBorders>
          </w:tcPr>
          <w:p w14:paraId="445862E4">
            <w:pPr>
              <w:spacing w:after="0" w:line="259" w:lineRule="auto"/>
              <w:ind w:left="0" w:firstLine="0"/>
              <w:jc w:val="left"/>
            </w:pPr>
            <w:r>
              <w:t xml:space="preserve">&gt; EUR 50,000 - 100,000 nominal value in a one-year period </w:t>
            </w:r>
          </w:p>
        </w:tc>
        <w:tc>
          <w:tcPr>
            <w:tcW w:w="1558" w:type="dxa"/>
            <w:tcBorders>
              <w:top w:val="single" w:color="000000" w:sz="4" w:space="0"/>
              <w:left w:val="single" w:color="000000" w:sz="4" w:space="0"/>
              <w:bottom w:val="single" w:color="000000" w:sz="4" w:space="0"/>
              <w:right w:val="single" w:color="000000" w:sz="4" w:space="0"/>
            </w:tcBorders>
          </w:tcPr>
          <w:p w14:paraId="0DD69CA6">
            <w:pPr>
              <w:spacing w:after="0" w:line="259" w:lineRule="auto"/>
              <w:ind w:left="0" w:right="22" w:firstLine="0"/>
              <w:jc w:val="center"/>
            </w:pPr>
            <w:r>
              <w:t xml:space="preserve">1.00% </w:t>
            </w:r>
          </w:p>
        </w:tc>
        <w:tc>
          <w:tcPr>
            <w:tcW w:w="2127" w:type="dxa"/>
            <w:tcBorders>
              <w:top w:val="single" w:color="000000" w:sz="4" w:space="0"/>
              <w:left w:val="single" w:color="000000" w:sz="4" w:space="0"/>
              <w:bottom w:val="single" w:color="000000" w:sz="4" w:space="0"/>
              <w:right w:val="single" w:color="000000" w:sz="4" w:space="0"/>
            </w:tcBorders>
          </w:tcPr>
          <w:p w14:paraId="7D443B48">
            <w:pPr>
              <w:spacing w:after="0" w:line="259" w:lineRule="auto"/>
              <w:ind w:left="0" w:right="19" w:firstLine="0"/>
              <w:jc w:val="center"/>
            </w:pPr>
            <w:r>
              <w:t xml:space="preserve">0.8% </w:t>
            </w:r>
          </w:p>
        </w:tc>
      </w:tr>
      <w:tr w14:paraId="24F2D32F">
        <w:tblPrEx>
          <w:tblCellMar>
            <w:top w:w="74" w:type="dxa"/>
            <w:left w:w="111" w:type="dxa"/>
            <w:bottom w:w="0" w:type="dxa"/>
            <w:right w:w="87" w:type="dxa"/>
          </w:tblCellMar>
        </w:tblPrEx>
        <w:trPr>
          <w:trHeight w:val="313" w:hRule="atLeast"/>
        </w:trPr>
        <w:tc>
          <w:tcPr>
            <w:tcW w:w="5951" w:type="dxa"/>
            <w:tcBorders>
              <w:top w:val="single" w:color="000000" w:sz="4" w:space="0"/>
              <w:left w:val="single" w:color="000000" w:sz="4" w:space="0"/>
              <w:bottom w:val="single" w:color="000000" w:sz="4" w:space="0"/>
              <w:right w:val="single" w:color="000000" w:sz="4" w:space="0"/>
            </w:tcBorders>
          </w:tcPr>
          <w:p w14:paraId="3938779E">
            <w:pPr>
              <w:spacing w:after="0" w:line="259" w:lineRule="auto"/>
              <w:ind w:left="0" w:firstLine="0"/>
              <w:jc w:val="left"/>
            </w:pPr>
            <w:r>
              <w:t xml:space="preserve">&lt; EUR 50,000 nominal value in a one-year period </w:t>
            </w:r>
          </w:p>
        </w:tc>
        <w:tc>
          <w:tcPr>
            <w:tcW w:w="1558" w:type="dxa"/>
            <w:tcBorders>
              <w:top w:val="single" w:color="000000" w:sz="4" w:space="0"/>
              <w:left w:val="single" w:color="000000" w:sz="4" w:space="0"/>
              <w:bottom w:val="single" w:color="000000" w:sz="4" w:space="0"/>
              <w:right w:val="single" w:color="000000" w:sz="4" w:space="0"/>
            </w:tcBorders>
          </w:tcPr>
          <w:p w14:paraId="4651AE15">
            <w:pPr>
              <w:spacing w:after="0" w:line="259" w:lineRule="auto"/>
              <w:ind w:left="0" w:right="22" w:firstLine="0"/>
              <w:jc w:val="center"/>
            </w:pPr>
            <w:r>
              <w:t xml:space="preserve">2.00% </w:t>
            </w:r>
          </w:p>
        </w:tc>
        <w:tc>
          <w:tcPr>
            <w:tcW w:w="2127" w:type="dxa"/>
            <w:tcBorders>
              <w:top w:val="single" w:color="000000" w:sz="4" w:space="0"/>
              <w:left w:val="single" w:color="000000" w:sz="4" w:space="0"/>
              <w:bottom w:val="single" w:color="000000" w:sz="4" w:space="0"/>
              <w:right w:val="single" w:color="000000" w:sz="4" w:space="0"/>
            </w:tcBorders>
          </w:tcPr>
          <w:p w14:paraId="4690329F">
            <w:pPr>
              <w:spacing w:after="0" w:line="259" w:lineRule="auto"/>
              <w:ind w:left="0" w:right="19" w:firstLine="0"/>
              <w:jc w:val="center"/>
            </w:pPr>
            <w:r>
              <w:t xml:space="preserve">1.00% </w:t>
            </w:r>
          </w:p>
        </w:tc>
      </w:tr>
    </w:tbl>
    <w:p w14:paraId="129C6840">
      <w:pPr>
        <w:spacing w:after="98" w:line="259" w:lineRule="auto"/>
        <w:ind w:left="-5"/>
        <w:jc w:val="left"/>
      </w:pPr>
      <w:r>
        <w:rPr>
          <w:i/>
        </w:rPr>
        <w:t xml:space="preserve">* Basis for calculation is the NBS middle exchange rate on the calculation date </w:t>
      </w:r>
    </w:p>
    <w:p w14:paraId="15581F3E">
      <w:pPr>
        <w:spacing w:after="98" w:line="259" w:lineRule="auto"/>
        <w:ind w:left="0" w:firstLine="0"/>
        <w:jc w:val="left"/>
        <w:rPr>
          <w:i/>
        </w:rPr>
      </w:pPr>
      <w:r>
        <w:rPr>
          <w:i/>
        </w:rPr>
        <w:t xml:space="preserve"> </w:t>
      </w:r>
    </w:p>
    <w:p w14:paraId="102CFAC0">
      <w:pPr>
        <w:spacing w:after="98" w:line="259" w:lineRule="auto"/>
        <w:ind w:left="0" w:firstLine="0"/>
        <w:jc w:val="left"/>
        <w:rPr>
          <w:i/>
        </w:rPr>
      </w:pPr>
    </w:p>
    <w:p w14:paraId="12CA5608">
      <w:pPr>
        <w:spacing w:after="98" w:line="259" w:lineRule="auto"/>
        <w:ind w:left="0" w:firstLine="0"/>
        <w:jc w:val="left"/>
        <w:rPr>
          <w:i/>
        </w:rPr>
      </w:pPr>
    </w:p>
    <w:p w14:paraId="4F8FE844">
      <w:pPr>
        <w:spacing w:after="98" w:line="259" w:lineRule="auto"/>
        <w:ind w:left="0" w:firstLine="0"/>
        <w:jc w:val="left"/>
        <w:rPr>
          <w:i/>
        </w:rPr>
      </w:pPr>
    </w:p>
    <w:p w14:paraId="2FC247D2">
      <w:pPr>
        <w:spacing w:after="98" w:line="259" w:lineRule="auto"/>
        <w:ind w:left="0" w:firstLine="0"/>
        <w:jc w:val="left"/>
        <w:rPr>
          <w:i/>
        </w:rPr>
      </w:pPr>
    </w:p>
    <w:p w14:paraId="72442F93">
      <w:pPr>
        <w:spacing w:after="98" w:line="259" w:lineRule="auto"/>
        <w:ind w:left="0" w:firstLine="0"/>
        <w:jc w:val="left"/>
      </w:pPr>
    </w:p>
    <w:p w14:paraId="70B345A4">
      <w:pPr>
        <w:pStyle w:val="2"/>
        <w:spacing w:after="0"/>
      </w:pPr>
      <w:r>
        <w:rPr>
          <w:b w:val="0"/>
        </w:rPr>
        <w:t xml:space="preserve">Table 3 - </w:t>
      </w:r>
      <w:r>
        <w:t>Commission for trading FIs (other than bonds) of foreign issuers</w:t>
      </w:r>
    </w:p>
    <w:tbl>
      <w:tblPr>
        <w:tblStyle w:val="10"/>
        <w:tblW w:w="9778" w:type="dxa"/>
        <w:tblInd w:w="5" w:type="dxa"/>
        <w:tblLayout w:type="autofit"/>
        <w:tblCellMar>
          <w:top w:w="98" w:type="dxa"/>
          <w:left w:w="111" w:type="dxa"/>
          <w:bottom w:w="0" w:type="dxa"/>
          <w:right w:w="56" w:type="dxa"/>
        </w:tblCellMar>
      </w:tblPr>
      <w:tblGrid>
        <w:gridCol w:w="3080"/>
        <w:gridCol w:w="2160"/>
        <w:gridCol w:w="2461"/>
        <w:gridCol w:w="2077"/>
      </w:tblGrid>
      <w:tr w14:paraId="0DCF5648">
        <w:tblPrEx>
          <w:tblCellMar>
            <w:top w:w="98" w:type="dxa"/>
            <w:left w:w="111" w:type="dxa"/>
            <w:bottom w:w="0" w:type="dxa"/>
            <w:right w:w="56" w:type="dxa"/>
          </w:tblCellMar>
        </w:tblPrEx>
        <w:trPr>
          <w:trHeight w:val="943" w:hRule="atLeast"/>
        </w:trPr>
        <w:tc>
          <w:tcPr>
            <w:tcW w:w="3080" w:type="dxa"/>
            <w:tcBorders>
              <w:top w:val="single" w:color="000000" w:sz="4" w:space="0"/>
              <w:left w:val="single" w:color="000000" w:sz="4" w:space="0"/>
              <w:bottom w:val="double" w:color="000000" w:sz="6" w:space="0"/>
              <w:right w:val="single" w:color="000000" w:sz="4" w:space="0"/>
            </w:tcBorders>
            <w:vAlign w:val="center"/>
          </w:tcPr>
          <w:p w14:paraId="2883A6A8">
            <w:pPr>
              <w:spacing w:after="0" w:line="259" w:lineRule="auto"/>
              <w:ind w:left="0" w:firstLine="0"/>
              <w:jc w:val="center"/>
            </w:pPr>
            <w:r>
              <w:rPr>
                <w:b/>
              </w:rPr>
              <w:t xml:space="preserve">BASIS FOR COMMISSION CALCULATION* </w:t>
            </w:r>
          </w:p>
        </w:tc>
        <w:tc>
          <w:tcPr>
            <w:tcW w:w="2160" w:type="dxa"/>
            <w:tcBorders>
              <w:top w:val="single" w:color="000000" w:sz="4" w:space="0"/>
              <w:left w:val="single" w:color="000000" w:sz="4" w:space="0"/>
              <w:bottom w:val="double" w:color="000000" w:sz="6" w:space="0"/>
              <w:right w:val="single" w:color="000000" w:sz="4" w:space="0"/>
            </w:tcBorders>
            <w:vAlign w:val="center"/>
          </w:tcPr>
          <w:p w14:paraId="5D9D3B18">
            <w:pPr>
              <w:spacing w:after="0" w:line="259" w:lineRule="auto"/>
              <w:ind w:left="0" w:firstLine="0"/>
              <w:jc w:val="center"/>
            </w:pPr>
            <w:r>
              <w:rPr>
                <w:b/>
              </w:rPr>
              <w:t xml:space="preserve">Commission for trading in foreign markets (other than USA)** </w:t>
            </w:r>
          </w:p>
        </w:tc>
        <w:tc>
          <w:tcPr>
            <w:tcW w:w="2461" w:type="dxa"/>
            <w:tcBorders>
              <w:top w:val="single" w:color="000000" w:sz="4" w:space="0"/>
              <w:left w:val="single" w:color="000000" w:sz="4" w:space="0"/>
              <w:bottom w:val="double" w:color="000000" w:sz="6" w:space="0"/>
              <w:right w:val="single" w:color="000000" w:sz="4" w:space="0"/>
            </w:tcBorders>
            <w:vAlign w:val="center"/>
          </w:tcPr>
          <w:p w14:paraId="73F0ED2B">
            <w:pPr>
              <w:spacing w:after="0" w:line="259" w:lineRule="auto"/>
              <w:ind w:left="0" w:firstLine="0"/>
              <w:jc w:val="center"/>
            </w:pPr>
            <w:r>
              <w:rPr>
                <w:b/>
              </w:rPr>
              <w:t xml:space="preserve">Commission for trading in foreign markets (other than USA) via mobile application** </w:t>
            </w:r>
          </w:p>
        </w:tc>
        <w:tc>
          <w:tcPr>
            <w:tcW w:w="2076" w:type="dxa"/>
            <w:tcBorders>
              <w:top w:val="single" w:color="000000" w:sz="4" w:space="0"/>
              <w:left w:val="single" w:color="000000" w:sz="4" w:space="0"/>
              <w:bottom w:val="double" w:color="000000" w:sz="6" w:space="0"/>
              <w:right w:val="single" w:color="000000" w:sz="4" w:space="0"/>
            </w:tcBorders>
            <w:vAlign w:val="center"/>
          </w:tcPr>
          <w:p w14:paraId="7CC78892">
            <w:pPr>
              <w:spacing w:after="0" w:line="259" w:lineRule="auto"/>
              <w:ind w:left="0" w:firstLine="0"/>
              <w:jc w:val="center"/>
            </w:pPr>
            <w:r>
              <w:rPr>
                <w:b/>
              </w:rPr>
              <w:t xml:space="preserve">Commission for trading in US markets** </w:t>
            </w:r>
          </w:p>
        </w:tc>
      </w:tr>
      <w:tr w14:paraId="22529CA5">
        <w:tblPrEx>
          <w:tblCellMar>
            <w:top w:w="98" w:type="dxa"/>
            <w:left w:w="111" w:type="dxa"/>
            <w:bottom w:w="0" w:type="dxa"/>
            <w:right w:w="56" w:type="dxa"/>
          </w:tblCellMar>
        </w:tblPrEx>
        <w:trPr>
          <w:trHeight w:val="1544" w:hRule="atLeast"/>
        </w:trPr>
        <w:tc>
          <w:tcPr>
            <w:tcW w:w="3080" w:type="dxa"/>
            <w:tcBorders>
              <w:top w:val="double" w:color="000000" w:sz="6" w:space="0"/>
              <w:left w:val="single" w:color="000000" w:sz="4" w:space="0"/>
              <w:bottom w:val="single" w:color="000000" w:sz="4" w:space="0"/>
              <w:right w:val="single" w:color="000000" w:sz="4" w:space="0"/>
            </w:tcBorders>
            <w:vAlign w:val="center"/>
          </w:tcPr>
          <w:p w14:paraId="662DCAC4">
            <w:pPr>
              <w:spacing w:after="0" w:line="259" w:lineRule="auto"/>
              <w:ind w:left="0" w:right="49" w:firstLine="0"/>
            </w:pPr>
            <w:r>
              <w:t xml:space="preserve">&gt; EUR 500,000 of portfolio value or minimum charged commission of EUR 500 in a one-year period  </w:t>
            </w:r>
          </w:p>
        </w:tc>
        <w:tc>
          <w:tcPr>
            <w:tcW w:w="2160" w:type="dxa"/>
            <w:tcBorders>
              <w:top w:val="double" w:color="000000" w:sz="6" w:space="0"/>
              <w:left w:val="single" w:color="000000" w:sz="4" w:space="0"/>
              <w:bottom w:val="single" w:color="000000" w:sz="4" w:space="0"/>
              <w:right w:val="single" w:color="000000" w:sz="4" w:space="0"/>
            </w:tcBorders>
            <w:vAlign w:val="center"/>
          </w:tcPr>
          <w:p w14:paraId="05C8AD67">
            <w:pPr>
              <w:spacing w:after="0" w:line="259" w:lineRule="auto"/>
              <w:ind w:left="0" w:right="47" w:firstLine="0"/>
              <w:jc w:val="center"/>
            </w:pPr>
            <w:r>
              <w:t xml:space="preserve">0.15 % </w:t>
            </w:r>
          </w:p>
        </w:tc>
        <w:tc>
          <w:tcPr>
            <w:tcW w:w="2461" w:type="dxa"/>
            <w:tcBorders>
              <w:top w:val="double" w:color="000000" w:sz="6" w:space="0"/>
              <w:left w:val="single" w:color="000000" w:sz="4" w:space="0"/>
              <w:bottom w:val="single" w:color="000000" w:sz="4" w:space="0"/>
              <w:right w:val="single" w:color="000000" w:sz="4" w:space="0"/>
            </w:tcBorders>
            <w:vAlign w:val="center"/>
          </w:tcPr>
          <w:p w14:paraId="7EB106FB">
            <w:pPr>
              <w:spacing w:after="0" w:line="259" w:lineRule="auto"/>
              <w:ind w:left="0" w:right="50" w:firstLine="0"/>
              <w:jc w:val="center"/>
            </w:pPr>
            <w:r>
              <w:t xml:space="preserve">0.10 % </w:t>
            </w:r>
          </w:p>
        </w:tc>
        <w:tc>
          <w:tcPr>
            <w:tcW w:w="2076" w:type="dxa"/>
            <w:tcBorders>
              <w:top w:val="double" w:color="000000" w:sz="6" w:space="0"/>
              <w:left w:val="single" w:color="000000" w:sz="4" w:space="0"/>
              <w:bottom w:val="single" w:color="000000" w:sz="4" w:space="0"/>
              <w:right w:val="single" w:color="000000" w:sz="4" w:space="0"/>
            </w:tcBorders>
            <w:vAlign w:val="center"/>
          </w:tcPr>
          <w:p w14:paraId="6865BEB9">
            <w:pPr>
              <w:spacing w:after="0" w:line="259" w:lineRule="auto"/>
              <w:ind w:left="0" w:right="51" w:firstLine="0"/>
              <w:jc w:val="center"/>
            </w:pPr>
            <w:r>
              <w:t xml:space="preserve">USD 0.02 per share </w:t>
            </w:r>
          </w:p>
        </w:tc>
      </w:tr>
      <w:tr w14:paraId="718D009F">
        <w:tblPrEx>
          <w:tblCellMar>
            <w:top w:w="98" w:type="dxa"/>
            <w:left w:w="111" w:type="dxa"/>
            <w:bottom w:w="0" w:type="dxa"/>
            <w:right w:w="56" w:type="dxa"/>
          </w:tblCellMar>
        </w:tblPrEx>
        <w:trPr>
          <w:trHeight w:val="1510" w:hRule="atLeast"/>
        </w:trPr>
        <w:tc>
          <w:tcPr>
            <w:tcW w:w="3080" w:type="dxa"/>
            <w:tcBorders>
              <w:top w:val="single" w:color="000000" w:sz="4" w:space="0"/>
              <w:left w:val="single" w:color="000000" w:sz="4" w:space="0"/>
              <w:bottom w:val="single" w:color="000000" w:sz="4" w:space="0"/>
              <w:right w:val="single" w:color="000000" w:sz="4" w:space="0"/>
            </w:tcBorders>
            <w:vAlign w:val="center"/>
          </w:tcPr>
          <w:p w14:paraId="56502CD3">
            <w:pPr>
              <w:spacing w:after="0" w:line="259" w:lineRule="auto"/>
              <w:ind w:left="0" w:right="48" w:firstLine="0"/>
            </w:pPr>
            <w:r>
              <w:t xml:space="preserve">&gt;EUR 100,000 - 500,000 of portfolio value or minimum charged commission of EUR 300 in a one-year period  </w:t>
            </w:r>
          </w:p>
        </w:tc>
        <w:tc>
          <w:tcPr>
            <w:tcW w:w="2160" w:type="dxa"/>
            <w:tcBorders>
              <w:top w:val="single" w:color="000000" w:sz="4" w:space="0"/>
              <w:left w:val="single" w:color="000000" w:sz="4" w:space="0"/>
              <w:bottom w:val="single" w:color="000000" w:sz="4" w:space="0"/>
              <w:right w:val="single" w:color="000000" w:sz="4" w:space="0"/>
            </w:tcBorders>
            <w:vAlign w:val="center"/>
          </w:tcPr>
          <w:p w14:paraId="5CD46E0C">
            <w:pPr>
              <w:spacing w:after="0" w:line="259" w:lineRule="auto"/>
              <w:ind w:left="0" w:right="47" w:firstLine="0"/>
              <w:jc w:val="center"/>
            </w:pPr>
            <w:r>
              <w:t xml:space="preserve">0.20 % </w:t>
            </w:r>
          </w:p>
        </w:tc>
        <w:tc>
          <w:tcPr>
            <w:tcW w:w="2461" w:type="dxa"/>
            <w:tcBorders>
              <w:top w:val="single" w:color="000000" w:sz="4" w:space="0"/>
              <w:left w:val="single" w:color="000000" w:sz="4" w:space="0"/>
              <w:bottom w:val="single" w:color="000000" w:sz="4" w:space="0"/>
              <w:right w:val="single" w:color="000000" w:sz="4" w:space="0"/>
            </w:tcBorders>
            <w:vAlign w:val="center"/>
          </w:tcPr>
          <w:p w14:paraId="5C8EA291">
            <w:pPr>
              <w:spacing w:after="0" w:line="259" w:lineRule="auto"/>
              <w:ind w:left="0" w:right="50" w:firstLine="0"/>
              <w:jc w:val="center"/>
            </w:pPr>
            <w:r>
              <w:t xml:space="preserve">0.15 % </w:t>
            </w:r>
          </w:p>
        </w:tc>
        <w:tc>
          <w:tcPr>
            <w:tcW w:w="2076" w:type="dxa"/>
            <w:tcBorders>
              <w:top w:val="single" w:color="000000" w:sz="4" w:space="0"/>
              <w:left w:val="single" w:color="000000" w:sz="4" w:space="0"/>
              <w:bottom w:val="single" w:color="000000" w:sz="4" w:space="0"/>
              <w:right w:val="single" w:color="000000" w:sz="4" w:space="0"/>
            </w:tcBorders>
            <w:vAlign w:val="center"/>
          </w:tcPr>
          <w:p w14:paraId="66FF7734">
            <w:pPr>
              <w:spacing w:after="0" w:line="259" w:lineRule="auto"/>
              <w:ind w:left="0" w:right="51" w:firstLine="0"/>
              <w:jc w:val="center"/>
            </w:pPr>
            <w:r>
              <w:t xml:space="preserve">USD 0.02 per share </w:t>
            </w:r>
          </w:p>
        </w:tc>
      </w:tr>
      <w:tr w14:paraId="27D77555">
        <w:tblPrEx>
          <w:tblCellMar>
            <w:top w:w="98" w:type="dxa"/>
            <w:left w:w="111" w:type="dxa"/>
            <w:bottom w:w="0" w:type="dxa"/>
            <w:right w:w="56" w:type="dxa"/>
          </w:tblCellMar>
        </w:tblPrEx>
        <w:trPr>
          <w:trHeight w:val="1510" w:hRule="atLeast"/>
        </w:trPr>
        <w:tc>
          <w:tcPr>
            <w:tcW w:w="3080" w:type="dxa"/>
            <w:tcBorders>
              <w:top w:val="single" w:color="000000" w:sz="4" w:space="0"/>
              <w:left w:val="single" w:color="000000" w:sz="4" w:space="0"/>
              <w:bottom w:val="single" w:color="000000" w:sz="4" w:space="0"/>
              <w:right w:val="single" w:color="000000" w:sz="4" w:space="0"/>
            </w:tcBorders>
            <w:vAlign w:val="center"/>
          </w:tcPr>
          <w:p w14:paraId="495DC1D5">
            <w:pPr>
              <w:spacing w:after="0" w:line="259" w:lineRule="auto"/>
              <w:ind w:left="0" w:right="49" w:firstLine="0"/>
            </w:pPr>
            <w:r>
              <w:t xml:space="preserve">&gt;EUR 50,000 - 100,000 of portfolio value or minimum charged commission of EUR 150 in a one-year period  </w:t>
            </w:r>
          </w:p>
        </w:tc>
        <w:tc>
          <w:tcPr>
            <w:tcW w:w="2160" w:type="dxa"/>
            <w:tcBorders>
              <w:top w:val="single" w:color="000000" w:sz="4" w:space="0"/>
              <w:left w:val="single" w:color="000000" w:sz="4" w:space="0"/>
              <w:bottom w:val="single" w:color="000000" w:sz="4" w:space="0"/>
              <w:right w:val="single" w:color="000000" w:sz="4" w:space="0"/>
            </w:tcBorders>
            <w:vAlign w:val="center"/>
          </w:tcPr>
          <w:p w14:paraId="2CE1DBC7">
            <w:pPr>
              <w:spacing w:after="0" w:line="259" w:lineRule="auto"/>
              <w:ind w:left="0" w:right="50" w:firstLine="0"/>
              <w:jc w:val="center"/>
            </w:pPr>
            <w:r>
              <w:t xml:space="preserve">0.30% </w:t>
            </w:r>
          </w:p>
        </w:tc>
        <w:tc>
          <w:tcPr>
            <w:tcW w:w="2461" w:type="dxa"/>
            <w:tcBorders>
              <w:top w:val="single" w:color="000000" w:sz="4" w:space="0"/>
              <w:left w:val="single" w:color="000000" w:sz="4" w:space="0"/>
              <w:bottom w:val="single" w:color="000000" w:sz="4" w:space="0"/>
              <w:right w:val="single" w:color="000000" w:sz="4" w:space="0"/>
            </w:tcBorders>
            <w:vAlign w:val="center"/>
          </w:tcPr>
          <w:p w14:paraId="6FB91B23">
            <w:pPr>
              <w:spacing w:after="0" w:line="259" w:lineRule="auto"/>
              <w:ind w:left="0" w:right="48" w:firstLine="0"/>
              <w:jc w:val="center"/>
            </w:pPr>
            <w:r>
              <w:t xml:space="preserve">0.25% </w:t>
            </w:r>
          </w:p>
        </w:tc>
        <w:tc>
          <w:tcPr>
            <w:tcW w:w="2076" w:type="dxa"/>
            <w:tcBorders>
              <w:top w:val="single" w:color="000000" w:sz="4" w:space="0"/>
              <w:left w:val="single" w:color="000000" w:sz="4" w:space="0"/>
              <w:bottom w:val="single" w:color="000000" w:sz="4" w:space="0"/>
              <w:right w:val="single" w:color="000000" w:sz="4" w:space="0"/>
            </w:tcBorders>
            <w:vAlign w:val="center"/>
          </w:tcPr>
          <w:p w14:paraId="2B52F03F">
            <w:pPr>
              <w:spacing w:after="0" w:line="259" w:lineRule="auto"/>
              <w:ind w:left="0" w:right="51" w:firstLine="0"/>
              <w:jc w:val="center"/>
            </w:pPr>
            <w:r>
              <w:t xml:space="preserve">USD 0.03 per share </w:t>
            </w:r>
          </w:p>
        </w:tc>
      </w:tr>
      <w:tr w14:paraId="45A259F0">
        <w:tblPrEx>
          <w:tblCellMar>
            <w:top w:w="98" w:type="dxa"/>
            <w:left w:w="111" w:type="dxa"/>
            <w:bottom w:w="0" w:type="dxa"/>
            <w:right w:w="56" w:type="dxa"/>
          </w:tblCellMar>
        </w:tblPrEx>
        <w:trPr>
          <w:trHeight w:val="1510" w:hRule="atLeast"/>
        </w:trPr>
        <w:tc>
          <w:tcPr>
            <w:tcW w:w="3080" w:type="dxa"/>
            <w:tcBorders>
              <w:top w:val="single" w:color="000000" w:sz="4" w:space="0"/>
              <w:left w:val="single" w:color="000000" w:sz="4" w:space="0"/>
              <w:bottom w:val="single" w:color="000000" w:sz="4" w:space="0"/>
              <w:right w:val="single" w:color="000000" w:sz="4" w:space="0"/>
            </w:tcBorders>
            <w:vAlign w:val="center"/>
          </w:tcPr>
          <w:p w14:paraId="0FBD0C8F">
            <w:pPr>
              <w:spacing w:after="0" w:line="259" w:lineRule="auto"/>
              <w:ind w:left="0" w:right="48" w:firstLine="0"/>
            </w:pPr>
            <w:r>
              <w:t xml:space="preserve">&gt;EUR 10,000 - 50,000 of portfolio value or minimum charged commission of EUR 100 in a one-year period  </w:t>
            </w:r>
          </w:p>
        </w:tc>
        <w:tc>
          <w:tcPr>
            <w:tcW w:w="2160" w:type="dxa"/>
            <w:tcBorders>
              <w:top w:val="single" w:color="000000" w:sz="4" w:space="0"/>
              <w:left w:val="single" w:color="000000" w:sz="4" w:space="0"/>
              <w:bottom w:val="single" w:color="000000" w:sz="4" w:space="0"/>
              <w:right w:val="single" w:color="000000" w:sz="4" w:space="0"/>
            </w:tcBorders>
            <w:vAlign w:val="center"/>
          </w:tcPr>
          <w:p w14:paraId="629772C9">
            <w:pPr>
              <w:spacing w:after="0" w:line="259" w:lineRule="auto"/>
              <w:ind w:left="0" w:right="50" w:firstLine="0"/>
              <w:jc w:val="center"/>
            </w:pPr>
            <w:r>
              <w:t xml:space="preserve">0.50% </w:t>
            </w:r>
          </w:p>
        </w:tc>
        <w:tc>
          <w:tcPr>
            <w:tcW w:w="2461" w:type="dxa"/>
            <w:tcBorders>
              <w:top w:val="single" w:color="000000" w:sz="4" w:space="0"/>
              <w:left w:val="single" w:color="000000" w:sz="4" w:space="0"/>
              <w:bottom w:val="single" w:color="000000" w:sz="4" w:space="0"/>
              <w:right w:val="single" w:color="000000" w:sz="4" w:space="0"/>
            </w:tcBorders>
            <w:vAlign w:val="center"/>
          </w:tcPr>
          <w:p w14:paraId="671B62A2">
            <w:pPr>
              <w:spacing w:after="0" w:line="259" w:lineRule="auto"/>
              <w:ind w:left="0" w:right="48" w:firstLine="0"/>
              <w:jc w:val="center"/>
            </w:pPr>
            <w:r>
              <w:t xml:space="preserve">0.30% </w:t>
            </w:r>
          </w:p>
        </w:tc>
        <w:tc>
          <w:tcPr>
            <w:tcW w:w="2076" w:type="dxa"/>
            <w:tcBorders>
              <w:top w:val="single" w:color="000000" w:sz="4" w:space="0"/>
              <w:left w:val="single" w:color="000000" w:sz="4" w:space="0"/>
              <w:bottom w:val="single" w:color="000000" w:sz="4" w:space="0"/>
              <w:right w:val="single" w:color="000000" w:sz="4" w:space="0"/>
            </w:tcBorders>
            <w:vAlign w:val="center"/>
          </w:tcPr>
          <w:p w14:paraId="20A3C3FC">
            <w:pPr>
              <w:spacing w:after="0" w:line="259" w:lineRule="auto"/>
              <w:ind w:left="0" w:right="51" w:firstLine="0"/>
              <w:jc w:val="center"/>
            </w:pPr>
            <w:r>
              <w:t xml:space="preserve">USD 0.03 per share </w:t>
            </w:r>
          </w:p>
        </w:tc>
      </w:tr>
      <w:tr w14:paraId="0DAA0DDB">
        <w:tblPrEx>
          <w:tblCellMar>
            <w:top w:w="98" w:type="dxa"/>
            <w:left w:w="111" w:type="dxa"/>
            <w:bottom w:w="0" w:type="dxa"/>
            <w:right w:w="56" w:type="dxa"/>
          </w:tblCellMar>
        </w:tblPrEx>
        <w:trPr>
          <w:trHeight w:val="610" w:hRule="atLeast"/>
        </w:trPr>
        <w:tc>
          <w:tcPr>
            <w:tcW w:w="3080" w:type="dxa"/>
            <w:tcBorders>
              <w:top w:val="single" w:color="000000" w:sz="4" w:space="0"/>
              <w:left w:val="single" w:color="000000" w:sz="4" w:space="0"/>
              <w:bottom w:val="single" w:color="000000" w:sz="4" w:space="0"/>
              <w:right w:val="single" w:color="000000" w:sz="4" w:space="0"/>
            </w:tcBorders>
          </w:tcPr>
          <w:p w14:paraId="0061194B">
            <w:pPr>
              <w:spacing w:after="0" w:line="259" w:lineRule="auto"/>
              <w:ind w:left="0" w:firstLine="0"/>
            </w:pPr>
            <w:r>
              <w:t xml:space="preserve">&lt; EUR 10,000 or if no transactions over a one-year period  </w:t>
            </w:r>
          </w:p>
        </w:tc>
        <w:tc>
          <w:tcPr>
            <w:tcW w:w="2160" w:type="dxa"/>
            <w:tcBorders>
              <w:top w:val="single" w:color="000000" w:sz="4" w:space="0"/>
              <w:left w:val="single" w:color="000000" w:sz="4" w:space="0"/>
              <w:bottom w:val="single" w:color="000000" w:sz="4" w:space="0"/>
              <w:right w:val="single" w:color="000000" w:sz="4" w:space="0"/>
            </w:tcBorders>
            <w:vAlign w:val="center"/>
          </w:tcPr>
          <w:p w14:paraId="28140234">
            <w:pPr>
              <w:spacing w:after="0" w:line="259" w:lineRule="auto"/>
              <w:ind w:left="0" w:right="50" w:firstLine="0"/>
              <w:jc w:val="center"/>
            </w:pPr>
            <w:r>
              <w:t xml:space="preserve">0.70% </w:t>
            </w:r>
          </w:p>
        </w:tc>
        <w:tc>
          <w:tcPr>
            <w:tcW w:w="2461" w:type="dxa"/>
            <w:tcBorders>
              <w:top w:val="single" w:color="000000" w:sz="4" w:space="0"/>
              <w:left w:val="single" w:color="000000" w:sz="4" w:space="0"/>
              <w:bottom w:val="single" w:color="000000" w:sz="4" w:space="0"/>
              <w:right w:val="single" w:color="000000" w:sz="4" w:space="0"/>
            </w:tcBorders>
            <w:vAlign w:val="center"/>
          </w:tcPr>
          <w:p w14:paraId="22A541F6">
            <w:pPr>
              <w:spacing w:after="0" w:line="259" w:lineRule="auto"/>
              <w:ind w:left="0" w:right="48" w:firstLine="0"/>
              <w:jc w:val="center"/>
            </w:pPr>
            <w:r>
              <w:t xml:space="preserve">0.50% </w:t>
            </w:r>
          </w:p>
        </w:tc>
        <w:tc>
          <w:tcPr>
            <w:tcW w:w="2076" w:type="dxa"/>
            <w:tcBorders>
              <w:top w:val="single" w:color="000000" w:sz="4" w:space="0"/>
              <w:left w:val="single" w:color="000000" w:sz="4" w:space="0"/>
              <w:bottom w:val="single" w:color="000000" w:sz="4" w:space="0"/>
              <w:right w:val="single" w:color="000000" w:sz="4" w:space="0"/>
            </w:tcBorders>
            <w:vAlign w:val="center"/>
          </w:tcPr>
          <w:p w14:paraId="38E03DA7">
            <w:pPr>
              <w:spacing w:after="0" w:line="259" w:lineRule="auto"/>
              <w:ind w:left="0" w:right="51" w:firstLine="0"/>
              <w:jc w:val="center"/>
            </w:pPr>
            <w:r>
              <w:t xml:space="preserve">USD 0.03 per share </w:t>
            </w:r>
          </w:p>
        </w:tc>
      </w:tr>
    </w:tbl>
    <w:p w14:paraId="4FE24A66">
      <w:pPr>
        <w:spacing w:after="3" w:line="259" w:lineRule="auto"/>
        <w:ind w:left="-5"/>
        <w:jc w:val="left"/>
      </w:pPr>
      <w:r>
        <w:rPr>
          <w:i/>
        </w:rPr>
        <w:t xml:space="preserve">* Basis for calculation is the NBS middle exchange rate on the calculation date </w:t>
      </w:r>
    </w:p>
    <w:p w14:paraId="374CFB9A">
      <w:pPr>
        <w:spacing w:after="0" w:line="259" w:lineRule="auto"/>
        <w:ind w:left="0" w:firstLine="0"/>
        <w:jc w:val="left"/>
      </w:pPr>
      <w:r>
        <w:rPr>
          <w:i/>
        </w:rPr>
        <w:t xml:space="preserve">** </w:t>
      </w:r>
      <w:r>
        <w:rPr>
          <w:b/>
          <w:i/>
        </w:rPr>
        <w:t xml:space="preserve">The minimum commission charged is USD 20 per transaction </w:t>
      </w:r>
    </w:p>
    <w:p w14:paraId="1F5D26E7">
      <w:pPr>
        <w:spacing w:after="0" w:line="259" w:lineRule="auto"/>
        <w:ind w:left="0" w:firstLine="0"/>
        <w:jc w:val="left"/>
      </w:pPr>
      <w:r>
        <w:rPr>
          <w:b/>
          <w:i/>
        </w:rPr>
        <w:t xml:space="preserve"> </w:t>
      </w:r>
    </w:p>
    <w:p w14:paraId="6BAC7CB9">
      <w:pPr>
        <w:spacing w:after="0" w:line="259" w:lineRule="auto"/>
        <w:ind w:left="0" w:firstLine="0"/>
        <w:jc w:val="left"/>
      </w:pPr>
      <w:r>
        <w:rPr>
          <w:b/>
          <w:i/>
        </w:rPr>
        <w:t xml:space="preserve"> </w:t>
      </w:r>
      <w:r>
        <w:t xml:space="preserve"> </w:t>
      </w:r>
    </w:p>
    <w:p w14:paraId="5339C183">
      <w:pPr>
        <w:pStyle w:val="2"/>
        <w:spacing w:after="0"/>
      </w:pPr>
      <w:r>
        <w:rPr>
          <w:b w:val="0"/>
        </w:rPr>
        <w:t xml:space="preserve">Table 4 - </w:t>
      </w:r>
      <w:r>
        <w:t>Commission for trading bonds of foreign issuers</w:t>
      </w:r>
    </w:p>
    <w:tbl>
      <w:tblPr>
        <w:tblStyle w:val="10"/>
        <w:tblW w:w="9778" w:type="dxa"/>
        <w:tblInd w:w="5" w:type="dxa"/>
        <w:tblLayout w:type="autofit"/>
        <w:tblCellMar>
          <w:top w:w="50" w:type="dxa"/>
          <w:left w:w="111" w:type="dxa"/>
          <w:bottom w:w="0" w:type="dxa"/>
          <w:right w:w="57" w:type="dxa"/>
        </w:tblCellMar>
      </w:tblPr>
      <w:tblGrid>
        <w:gridCol w:w="4249"/>
        <w:gridCol w:w="2552"/>
        <w:gridCol w:w="2977"/>
      </w:tblGrid>
      <w:tr w14:paraId="352C4970">
        <w:tblPrEx>
          <w:tblCellMar>
            <w:top w:w="50" w:type="dxa"/>
            <w:left w:w="111" w:type="dxa"/>
            <w:bottom w:w="0" w:type="dxa"/>
            <w:right w:w="57" w:type="dxa"/>
          </w:tblCellMar>
        </w:tblPrEx>
        <w:trPr>
          <w:trHeight w:val="953" w:hRule="atLeast"/>
        </w:trPr>
        <w:tc>
          <w:tcPr>
            <w:tcW w:w="4249" w:type="dxa"/>
            <w:tcBorders>
              <w:top w:val="single" w:color="000000" w:sz="4" w:space="0"/>
              <w:left w:val="single" w:color="000000" w:sz="4" w:space="0"/>
              <w:bottom w:val="single" w:color="000000" w:sz="4" w:space="0"/>
              <w:right w:val="single" w:color="000000" w:sz="4" w:space="0"/>
            </w:tcBorders>
            <w:vAlign w:val="center"/>
          </w:tcPr>
          <w:p w14:paraId="69C1A59D">
            <w:pPr>
              <w:spacing w:after="0" w:line="259" w:lineRule="auto"/>
              <w:ind w:left="0" w:right="49" w:firstLine="0"/>
              <w:jc w:val="center"/>
            </w:pPr>
            <w:r>
              <w:t xml:space="preserve">BASIS FOR COMMISSION CALCULATION* </w:t>
            </w:r>
          </w:p>
        </w:tc>
        <w:tc>
          <w:tcPr>
            <w:tcW w:w="2552" w:type="dxa"/>
            <w:tcBorders>
              <w:top w:val="single" w:color="000000" w:sz="4" w:space="0"/>
              <w:left w:val="single" w:color="000000" w:sz="4" w:space="0"/>
              <w:bottom w:val="single" w:color="000000" w:sz="4" w:space="0"/>
              <w:right w:val="single" w:color="000000" w:sz="4" w:space="0"/>
            </w:tcBorders>
            <w:vAlign w:val="center"/>
          </w:tcPr>
          <w:p w14:paraId="44FB6EDF">
            <w:pPr>
              <w:spacing w:after="0" w:line="259" w:lineRule="auto"/>
              <w:ind w:left="0" w:firstLine="0"/>
              <w:jc w:val="center"/>
            </w:pPr>
            <w:r>
              <w:t xml:space="preserve">Commission for trading bonds in foreign markets </w:t>
            </w:r>
          </w:p>
        </w:tc>
        <w:tc>
          <w:tcPr>
            <w:tcW w:w="2977" w:type="dxa"/>
            <w:tcBorders>
              <w:top w:val="single" w:color="000000" w:sz="4" w:space="0"/>
              <w:left w:val="single" w:color="000000" w:sz="4" w:space="0"/>
              <w:bottom w:val="single" w:color="000000" w:sz="4" w:space="0"/>
              <w:right w:val="single" w:color="000000" w:sz="4" w:space="0"/>
            </w:tcBorders>
          </w:tcPr>
          <w:p w14:paraId="7CD93DFF">
            <w:pPr>
              <w:spacing w:after="0" w:line="259" w:lineRule="auto"/>
              <w:ind w:left="0" w:firstLine="0"/>
              <w:jc w:val="center"/>
            </w:pPr>
            <w:r>
              <w:t xml:space="preserve">Commission for trading bonds in foreign markets via mobile application </w:t>
            </w:r>
          </w:p>
        </w:tc>
      </w:tr>
      <w:tr w14:paraId="34A842A3">
        <w:tblPrEx>
          <w:tblCellMar>
            <w:top w:w="50" w:type="dxa"/>
            <w:left w:w="111" w:type="dxa"/>
            <w:bottom w:w="0" w:type="dxa"/>
            <w:right w:w="57" w:type="dxa"/>
          </w:tblCellMar>
        </w:tblPrEx>
        <w:trPr>
          <w:trHeight w:val="514" w:hRule="atLeast"/>
        </w:trPr>
        <w:tc>
          <w:tcPr>
            <w:tcW w:w="4249" w:type="dxa"/>
            <w:tcBorders>
              <w:top w:val="single" w:color="000000" w:sz="4" w:space="0"/>
              <w:left w:val="single" w:color="000000" w:sz="4" w:space="0"/>
              <w:bottom w:val="single" w:color="000000" w:sz="4" w:space="0"/>
              <w:right w:val="single" w:color="000000" w:sz="4" w:space="0"/>
            </w:tcBorders>
          </w:tcPr>
          <w:p w14:paraId="7F0A1371">
            <w:pPr>
              <w:spacing w:after="0" w:line="259" w:lineRule="auto"/>
              <w:ind w:left="0" w:firstLine="0"/>
            </w:pPr>
            <w:r>
              <w:t xml:space="preserve">&gt; EUR 500,000 nominal value in a one-year period </w:t>
            </w:r>
          </w:p>
        </w:tc>
        <w:tc>
          <w:tcPr>
            <w:tcW w:w="2552" w:type="dxa"/>
            <w:tcBorders>
              <w:top w:val="single" w:color="000000" w:sz="4" w:space="0"/>
              <w:left w:val="single" w:color="000000" w:sz="4" w:space="0"/>
              <w:bottom w:val="single" w:color="000000" w:sz="4" w:space="0"/>
              <w:right w:val="single" w:color="000000" w:sz="4" w:space="0"/>
            </w:tcBorders>
            <w:vAlign w:val="center"/>
          </w:tcPr>
          <w:p w14:paraId="4098DA60">
            <w:pPr>
              <w:spacing w:after="0" w:line="259" w:lineRule="auto"/>
              <w:ind w:left="0" w:right="48" w:firstLine="0"/>
              <w:jc w:val="center"/>
            </w:pPr>
            <w:r>
              <w:t xml:space="preserve">0.15 % </w:t>
            </w:r>
          </w:p>
        </w:tc>
        <w:tc>
          <w:tcPr>
            <w:tcW w:w="2977" w:type="dxa"/>
            <w:tcBorders>
              <w:top w:val="single" w:color="000000" w:sz="4" w:space="0"/>
              <w:left w:val="single" w:color="000000" w:sz="4" w:space="0"/>
              <w:bottom w:val="single" w:color="000000" w:sz="4" w:space="0"/>
              <w:right w:val="single" w:color="000000" w:sz="4" w:space="0"/>
            </w:tcBorders>
            <w:vAlign w:val="center"/>
          </w:tcPr>
          <w:p w14:paraId="42FE6652">
            <w:pPr>
              <w:spacing w:after="0" w:line="259" w:lineRule="auto"/>
              <w:ind w:left="0" w:right="53" w:firstLine="0"/>
              <w:jc w:val="center"/>
            </w:pPr>
            <w:r>
              <w:t xml:space="preserve">0.10% </w:t>
            </w:r>
          </w:p>
        </w:tc>
      </w:tr>
      <w:tr w14:paraId="46DB92E7">
        <w:tblPrEx>
          <w:tblCellMar>
            <w:top w:w="50" w:type="dxa"/>
            <w:left w:w="111" w:type="dxa"/>
            <w:bottom w:w="0" w:type="dxa"/>
            <w:right w:w="57" w:type="dxa"/>
          </w:tblCellMar>
        </w:tblPrEx>
        <w:trPr>
          <w:trHeight w:val="516" w:hRule="atLeast"/>
        </w:trPr>
        <w:tc>
          <w:tcPr>
            <w:tcW w:w="4249" w:type="dxa"/>
            <w:tcBorders>
              <w:top w:val="single" w:color="000000" w:sz="4" w:space="0"/>
              <w:left w:val="single" w:color="000000" w:sz="4" w:space="0"/>
              <w:bottom w:val="single" w:color="000000" w:sz="4" w:space="0"/>
              <w:right w:val="single" w:color="000000" w:sz="4" w:space="0"/>
            </w:tcBorders>
          </w:tcPr>
          <w:p w14:paraId="361141CE">
            <w:pPr>
              <w:spacing w:after="0" w:line="259" w:lineRule="auto"/>
              <w:ind w:left="0" w:firstLine="0"/>
            </w:pPr>
            <w:r>
              <w:t xml:space="preserve">&gt;EUR 100,000 - 500,000 nominal value in a one-year period </w:t>
            </w:r>
          </w:p>
        </w:tc>
        <w:tc>
          <w:tcPr>
            <w:tcW w:w="2552" w:type="dxa"/>
            <w:tcBorders>
              <w:top w:val="single" w:color="000000" w:sz="4" w:space="0"/>
              <w:left w:val="single" w:color="000000" w:sz="4" w:space="0"/>
              <w:bottom w:val="single" w:color="000000" w:sz="4" w:space="0"/>
              <w:right w:val="single" w:color="000000" w:sz="4" w:space="0"/>
            </w:tcBorders>
            <w:vAlign w:val="center"/>
          </w:tcPr>
          <w:p w14:paraId="4F164677">
            <w:pPr>
              <w:spacing w:after="0" w:line="259" w:lineRule="auto"/>
              <w:ind w:left="0" w:right="46" w:firstLine="0"/>
              <w:jc w:val="center"/>
            </w:pPr>
            <w:r>
              <w:t xml:space="preserve">0.20% </w:t>
            </w:r>
          </w:p>
        </w:tc>
        <w:tc>
          <w:tcPr>
            <w:tcW w:w="2977" w:type="dxa"/>
            <w:tcBorders>
              <w:top w:val="single" w:color="000000" w:sz="4" w:space="0"/>
              <w:left w:val="single" w:color="000000" w:sz="4" w:space="0"/>
              <w:bottom w:val="single" w:color="000000" w:sz="4" w:space="0"/>
              <w:right w:val="single" w:color="000000" w:sz="4" w:space="0"/>
            </w:tcBorders>
            <w:vAlign w:val="center"/>
          </w:tcPr>
          <w:p w14:paraId="249A19C6">
            <w:pPr>
              <w:spacing w:after="0" w:line="259" w:lineRule="auto"/>
              <w:ind w:left="0" w:right="53" w:firstLine="0"/>
              <w:jc w:val="center"/>
            </w:pPr>
            <w:r>
              <w:t xml:space="preserve">0.15% </w:t>
            </w:r>
          </w:p>
        </w:tc>
      </w:tr>
      <w:tr w14:paraId="500A96C9">
        <w:tblPrEx>
          <w:tblCellMar>
            <w:top w:w="50" w:type="dxa"/>
            <w:left w:w="111" w:type="dxa"/>
            <w:bottom w:w="0" w:type="dxa"/>
            <w:right w:w="57" w:type="dxa"/>
          </w:tblCellMar>
        </w:tblPrEx>
        <w:trPr>
          <w:trHeight w:val="514" w:hRule="atLeast"/>
        </w:trPr>
        <w:tc>
          <w:tcPr>
            <w:tcW w:w="4249" w:type="dxa"/>
            <w:tcBorders>
              <w:top w:val="single" w:color="000000" w:sz="4" w:space="0"/>
              <w:left w:val="single" w:color="000000" w:sz="4" w:space="0"/>
              <w:bottom w:val="single" w:color="000000" w:sz="4" w:space="0"/>
              <w:right w:val="single" w:color="000000" w:sz="4" w:space="0"/>
            </w:tcBorders>
          </w:tcPr>
          <w:p w14:paraId="709F76D1">
            <w:pPr>
              <w:spacing w:after="0" w:line="259" w:lineRule="auto"/>
              <w:ind w:left="0" w:firstLine="0"/>
            </w:pPr>
            <w:r>
              <w:t xml:space="preserve">&gt;EUR 50,000 - 100,000 nominal value in a one-year period </w:t>
            </w:r>
          </w:p>
        </w:tc>
        <w:tc>
          <w:tcPr>
            <w:tcW w:w="2552" w:type="dxa"/>
            <w:tcBorders>
              <w:top w:val="single" w:color="000000" w:sz="4" w:space="0"/>
              <w:left w:val="single" w:color="000000" w:sz="4" w:space="0"/>
              <w:bottom w:val="single" w:color="000000" w:sz="4" w:space="0"/>
              <w:right w:val="single" w:color="000000" w:sz="4" w:space="0"/>
            </w:tcBorders>
            <w:vAlign w:val="center"/>
          </w:tcPr>
          <w:p w14:paraId="309E1408">
            <w:pPr>
              <w:spacing w:after="0" w:line="259" w:lineRule="auto"/>
              <w:ind w:left="0" w:right="46" w:firstLine="0"/>
              <w:jc w:val="center"/>
            </w:pPr>
            <w:r>
              <w:t xml:space="preserve">0.5% </w:t>
            </w:r>
          </w:p>
        </w:tc>
        <w:tc>
          <w:tcPr>
            <w:tcW w:w="2977" w:type="dxa"/>
            <w:tcBorders>
              <w:top w:val="single" w:color="000000" w:sz="4" w:space="0"/>
              <w:left w:val="single" w:color="000000" w:sz="4" w:space="0"/>
              <w:bottom w:val="single" w:color="000000" w:sz="4" w:space="0"/>
              <w:right w:val="single" w:color="000000" w:sz="4" w:space="0"/>
            </w:tcBorders>
            <w:vAlign w:val="center"/>
          </w:tcPr>
          <w:p w14:paraId="3B734428">
            <w:pPr>
              <w:spacing w:after="0" w:line="259" w:lineRule="auto"/>
              <w:ind w:left="0" w:right="53" w:firstLine="0"/>
              <w:jc w:val="center"/>
            </w:pPr>
            <w:r>
              <w:t xml:space="preserve">0.25% </w:t>
            </w:r>
          </w:p>
        </w:tc>
      </w:tr>
      <w:tr w14:paraId="7420119E">
        <w:tblPrEx>
          <w:tblCellMar>
            <w:top w:w="50" w:type="dxa"/>
            <w:left w:w="111" w:type="dxa"/>
            <w:bottom w:w="0" w:type="dxa"/>
            <w:right w:w="57" w:type="dxa"/>
          </w:tblCellMar>
        </w:tblPrEx>
        <w:trPr>
          <w:trHeight w:val="516" w:hRule="atLeast"/>
        </w:trPr>
        <w:tc>
          <w:tcPr>
            <w:tcW w:w="4249" w:type="dxa"/>
            <w:tcBorders>
              <w:top w:val="single" w:color="000000" w:sz="4" w:space="0"/>
              <w:left w:val="single" w:color="000000" w:sz="4" w:space="0"/>
              <w:bottom w:val="single" w:color="000000" w:sz="4" w:space="0"/>
              <w:right w:val="single" w:color="000000" w:sz="4" w:space="0"/>
            </w:tcBorders>
          </w:tcPr>
          <w:p w14:paraId="41477835">
            <w:pPr>
              <w:spacing w:after="0" w:line="259" w:lineRule="auto"/>
              <w:ind w:left="0" w:firstLine="0"/>
            </w:pPr>
            <w:r>
              <w:t xml:space="preserve">&lt; EUR 50,000 nominal value in a one-year period </w:t>
            </w:r>
          </w:p>
        </w:tc>
        <w:tc>
          <w:tcPr>
            <w:tcW w:w="2552" w:type="dxa"/>
            <w:tcBorders>
              <w:top w:val="single" w:color="000000" w:sz="4" w:space="0"/>
              <w:left w:val="single" w:color="000000" w:sz="4" w:space="0"/>
              <w:bottom w:val="single" w:color="000000" w:sz="4" w:space="0"/>
              <w:right w:val="single" w:color="000000" w:sz="4" w:space="0"/>
            </w:tcBorders>
            <w:vAlign w:val="center"/>
          </w:tcPr>
          <w:p w14:paraId="6DDB6543">
            <w:pPr>
              <w:spacing w:after="0" w:line="259" w:lineRule="auto"/>
              <w:ind w:left="0" w:right="46" w:firstLine="0"/>
              <w:jc w:val="center"/>
            </w:pPr>
            <w:r>
              <w:t xml:space="preserve">0.7% </w:t>
            </w:r>
          </w:p>
        </w:tc>
        <w:tc>
          <w:tcPr>
            <w:tcW w:w="2977" w:type="dxa"/>
            <w:tcBorders>
              <w:top w:val="single" w:color="000000" w:sz="4" w:space="0"/>
              <w:left w:val="single" w:color="000000" w:sz="4" w:space="0"/>
              <w:bottom w:val="single" w:color="000000" w:sz="4" w:space="0"/>
              <w:right w:val="single" w:color="000000" w:sz="4" w:space="0"/>
            </w:tcBorders>
            <w:vAlign w:val="center"/>
          </w:tcPr>
          <w:p w14:paraId="14C8BDA5">
            <w:pPr>
              <w:spacing w:after="0" w:line="259" w:lineRule="auto"/>
              <w:ind w:left="0" w:right="53" w:firstLine="0"/>
              <w:jc w:val="center"/>
            </w:pPr>
            <w:r>
              <w:t xml:space="preserve">0.30% </w:t>
            </w:r>
          </w:p>
        </w:tc>
      </w:tr>
    </w:tbl>
    <w:p w14:paraId="0D50E0D3">
      <w:pPr>
        <w:pStyle w:val="3"/>
        <w:spacing w:after="3"/>
        <w:ind w:left="-5"/>
      </w:pPr>
      <w:r>
        <w:rPr>
          <w:b w:val="0"/>
          <w:i/>
        </w:rPr>
        <w:t xml:space="preserve">* Basis for calculation is the NBS middle exchange rate on the calculation date </w:t>
      </w:r>
    </w:p>
    <w:p w14:paraId="72CDAD08">
      <w:pPr>
        <w:spacing w:after="98" w:line="259" w:lineRule="auto"/>
        <w:ind w:left="0" w:firstLine="0"/>
        <w:jc w:val="left"/>
      </w:pPr>
      <w:r>
        <w:t xml:space="preserve"> </w:t>
      </w:r>
    </w:p>
    <w:p w14:paraId="5773F674">
      <w:pPr>
        <w:spacing w:after="110" w:line="249" w:lineRule="auto"/>
        <w:ind w:left="-5" w:right="771"/>
      </w:pPr>
      <w:r>
        <w:t xml:space="preserve">For representing the Equity Fund of the Republic of Serbia in the sale of shares/financial instruments, the Bank charges a commission in line with the general enactments applicable to the Equity Fund.  </w:t>
      </w:r>
    </w:p>
    <w:p w14:paraId="16C2A55F">
      <w:pPr>
        <w:spacing w:after="98" w:line="259" w:lineRule="auto"/>
        <w:ind w:left="0" w:firstLine="0"/>
        <w:jc w:val="left"/>
      </w:pPr>
      <w:r>
        <w:t xml:space="preserve"> </w:t>
      </w:r>
    </w:p>
    <w:p w14:paraId="142E6C9F">
      <w:pPr>
        <w:pStyle w:val="4"/>
      </w:pPr>
      <w:r>
        <w:t xml:space="preserve">III  Market Maker Operations </w:t>
      </w:r>
    </w:p>
    <w:p w14:paraId="444EF033">
      <w:pPr>
        <w:pStyle w:val="4"/>
      </w:pPr>
      <w:r>
        <w:rPr>
          <w:b w:val="0"/>
        </w:rPr>
        <w:t xml:space="preserve">1. </w:t>
      </w:r>
      <w:r>
        <w:t>Fee for Market Maker Operations</w:t>
      </w:r>
    </w:p>
    <w:p w14:paraId="2361A155">
      <w:pPr>
        <w:pStyle w:val="11"/>
        <w:numPr>
          <w:ilvl w:val="0"/>
          <w:numId w:val="1"/>
        </w:numPr>
        <w:ind w:right="770"/>
      </w:pPr>
      <w:r>
        <w:t xml:space="preserve">The fee is charged according to the agreement with the client and may include services such as maintaining market liquidity, placing buy and sell orders for specific financial instruments, and other operations related to liquidity. </w:t>
      </w:r>
    </w:p>
    <w:p w14:paraId="7376F452">
      <w:pPr>
        <w:spacing w:after="98" w:line="259" w:lineRule="auto"/>
        <w:ind w:left="0" w:firstLine="0"/>
        <w:jc w:val="left"/>
      </w:pPr>
      <w:r>
        <w:t xml:space="preserve"> </w:t>
      </w:r>
    </w:p>
    <w:p w14:paraId="16118241">
      <w:pPr>
        <w:pStyle w:val="4"/>
      </w:pPr>
      <w:r>
        <w:t>IV  Issuing Agent and Corporate Agent Operations</w:t>
      </w:r>
    </w:p>
    <w:p w14:paraId="3587E1B4">
      <w:pPr>
        <w:pStyle w:val="4"/>
      </w:pPr>
      <w:r>
        <w:rPr>
          <w:b w:val="0"/>
        </w:rPr>
        <w:t xml:space="preserve">1. </w:t>
      </w:r>
      <w:r>
        <w:t xml:space="preserve">Fee for Issuing Agent Operations </w:t>
      </w:r>
    </w:p>
    <w:p w14:paraId="38EA903B">
      <w:pPr>
        <w:pStyle w:val="11"/>
        <w:numPr>
          <w:ilvl w:val="0"/>
          <w:numId w:val="1"/>
        </w:numPr>
        <w:ind w:right="770"/>
      </w:pPr>
      <w:r>
        <w:rPr>
          <w:sz w:val="20"/>
        </w:rPr>
        <w:t xml:space="preserve">The </w:t>
      </w:r>
      <w:r>
        <w:t xml:space="preserve">fee for organising the issue of financial instruments, with or without a buyback obligation, is determined by the agreement with the client. </w:t>
      </w:r>
    </w:p>
    <w:p w14:paraId="19ABF91C">
      <w:pPr>
        <w:pStyle w:val="4"/>
        <w:ind w:left="355"/>
      </w:pPr>
      <w:r>
        <w:rPr>
          <w:b w:val="0"/>
        </w:rPr>
        <w:t xml:space="preserve">2. </w:t>
      </w:r>
      <w:r>
        <w:t>Fee for Corporate Agent Operations</w:t>
      </w:r>
      <w:r>
        <w:rPr>
          <w:b w:val="0"/>
        </w:rPr>
        <w:t xml:space="preserve"> </w:t>
      </w:r>
    </w:p>
    <w:p w14:paraId="75805A32">
      <w:pPr>
        <w:numPr>
          <w:ilvl w:val="0"/>
          <w:numId w:val="3"/>
        </w:numPr>
        <w:ind w:right="774" w:hanging="360"/>
      </w:pPr>
      <w:r>
        <w:t xml:space="preserve">The fee for providing corporate agent services, including capital stock increase or reduction, redemption of own shares and other related operations, is determined by the agreement with the client. </w:t>
      </w:r>
    </w:p>
    <w:p w14:paraId="581124C0">
      <w:pPr>
        <w:numPr>
          <w:ilvl w:val="0"/>
          <w:numId w:val="3"/>
        </w:numPr>
        <w:spacing w:after="171" w:line="259" w:lineRule="auto"/>
        <w:ind w:right="774" w:hanging="360"/>
      </w:pPr>
      <w:r>
        <w:t xml:space="preserve">The maximum amounts of commissions and fees charged for corporate agent operations are set out below: </w:t>
      </w:r>
    </w:p>
    <w:p w14:paraId="24BBCBDE">
      <w:pPr>
        <w:spacing w:after="0" w:line="259" w:lineRule="auto"/>
        <w:ind w:left="1440" w:firstLine="0"/>
        <w:jc w:val="left"/>
      </w:pPr>
      <w:r>
        <w:t xml:space="preserve"> </w:t>
      </w:r>
    </w:p>
    <w:tbl>
      <w:tblPr>
        <w:tblStyle w:val="10"/>
        <w:tblW w:w="9357" w:type="dxa"/>
        <w:tblInd w:w="0" w:type="dxa"/>
        <w:tblLayout w:type="autofit"/>
        <w:tblCellMar>
          <w:top w:w="49" w:type="dxa"/>
          <w:left w:w="106" w:type="dxa"/>
          <w:bottom w:w="0" w:type="dxa"/>
          <w:right w:w="0" w:type="dxa"/>
        </w:tblCellMar>
      </w:tblPr>
      <w:tblGrid>
        <w:gridCol w:w="994"/>
        <w:gridCol w:w="4962"/>
        <w:gridCol w:w="3401"/>
      </w:tblGrid>
      <w:tr w14:paraId="6CC44187">
        <w:tblPrEx>
          <w:tblCellMar>
            <w:top w:w="49" w:type="dxa"/>
            <w:left w:w="106" w:type="dxa"/>
            <w:bottom w:w="0" w:type="dxa"/>
            <w:right w:w="0" w:type="dxa"/>
          </w:tblCellMar>
        </w:tblPrEx>
        <w:trPr>
          <w:trHeight w:val="379" w:hRule="atLeast"/>
        </w:trPr>
        <w:tc>
          <w:tcPr>
            <w:tcW w:w="992" w:type="dxa"/>
            <w:tcBorders>
              <w:top w:val="single" w:color="000000" w:sz="4" w:space="0"/>
              <w:left w:val="single" w:color="000000" w:sz="4" w:space="0"/>
              <w:bottom w:val="single" w:color="000000" w:sz="4" w:space="0"/>
              <w:right w:val="single" w:color="000000" w:sz="4" w:space="0"/>
            </w:tcBorders>
            <w:shd w:val="clear" w:color="auto" w:fill="F2F2F2"/>
          </w:tcPr>
          <w:p w14:paraId="5388CFA0">
            <w:pPr>
              <w:spacing w:after="0" w:line="259" w:lineRule="auto"/>
              <w:ind w:left="0" w:firstLine="0"/>
              <w:jc w:val="left"/>
            </w:pPr>
            <w:r>
              <w:rPr>
                <w:b/>
              </w:rPr>
              <w:t xml:space="preserve">No. </w:t>
            </w:r>
          </w:p>
        </w:tc>
        <w:tc>
          <w:tcPr>
            <w:tcW w:w="4962" w:type="dxa"/>
            <w:tcBorders>
              <w:top w:val="single" w:color="000000" w:sz="4" w:space="0"/>
              <w:left w:val="single" w:color="000000" w:sz="4" w:space="0"/>
              <w:bottom w:val="single" w:color="000000" w:sz="4" w:space="0"/>
              <w:right w:val="single" w:color="000000" w:sz="4" w:space="0"/>
            </w:tcBorders>
            <w:shd w:val="clear" w:color="auto" w:fill="F2F2F2"/>
          </w:tcPr>
          <w:p w14:paraId="42920E02">
            <w:pPr>
              <w:spacing w:after="0" w:line="259" w:lineRule="auto"/>
              <w:ind w:left="2" w:firstLine="0"/>
              <w:jc w:val="left"/>
            </w:pPr>
            <w:r>
              <w:rPr>
                <w:b/>
              </w:rPr>
              <w:t>CORPORATE SERVICES</w:t>
            </w:r>
          </w:p>
        </w:tc>
        <w:tc>
          <w:tcPr>
            <w:tcW w:w="3400" w:type="dxa"/>
            <w:tcBorders>
              <w:top w:val="single" w:color="000000" w:sz="4" w:space="0"/>
              <w:left w:val="single" w:color="000000" w:sz="4" w:space="0"/>
              <w:bottom w:val="single" w:color="000000" w:sz="4" w:space="0"/>
              <w:right w:val="single" w:color="000000" w:sz="4" w:space="0"/>
            </w:tcBorders>
            <w:shd w:val="clear" w:color="auto" w:fill="F2F2F2"/>
          </w:tcPr>
          <w:p w14:paraId="7830373E">
            <w:pPr>
              <w:spacing w:after="0" w:line="259" w:lineRule="auto"/>
              <w:ind w:left="0" w:right="106" w:firstLine="0"/>
              <w:jc w:val="center"/>
            </w:pPr>
            <w:r>
              <w:rPr>
                <w:b/>
              </w:rPr>
              <w:t xml:space="preserve">Commission, fee </w:t>
            </w:r>
          </w:p>
        </w:tc>
      </w:tr>
      <w:tr w14:paraId="6742AEFA">
        <w:tblPrEx>
          <w:tblCellMar>
            <w:top w:w="49" w:type="dxa"/>
            <w:left w:w="106" w:type="dxa"/>
            <w:bottom w:w="0" w:type="dxa"/>
            <w:right w:w="0" w:type="dxa"/>
          </w:tblCellMar>
        </w:tblPrEx>
        <w:trPr>
          <w:trHeight w:val="385" w:hRule="atLeast"/>
        </w:trPr>
        <w:tc>
          <w:tcPr>
            <w:tcW w:w="992" w:type="dxa"/>
            <w:tcBorders>
              <w:top w:val="single" w:color="000000" w:sz="4" w:space="0"/>
              <w:left w:val="single" w:color="000000" w:sz="4" w:space="0"/>
              <w:bottom w:val="single" w:color="000000" w:sz="4" w:space="0"/>
              <w:right w:val="single" w:color="000000" w:sz="4" w:space="0"/>
            </w:tcBorders>
          </w:tcPr>
          <w:p w14:paraId="4012C98F">
            <w:pPr>
              <w:spacing w:after="0" w:line="259" w:lineRule="auto"/>
              <w:ind w:left="0" w:firstLine="0"/>
              <w:jc w:val="left"/>
            </w:pPr>
            <w:r>
              <w:t xml:space="preserve">17. </w:t>
            </w:r>
          </w:p>
        </w:tc>
        <w:tc>
          <w:tcPr>
            <w:tcW w:w="4962" w:type="dxa"/>
            <w:tcBorders>
              <w:top w:val="single" w:color="000000" w:sz="4" w:space="0"/>
              <w:left w:val="single" w:color="000000" w:sz="4" w:space="0"/>
              <w:bottom w:val="single" w:color="000000" w:sz="4" w:space="0"/>
              <w:right w:val="single" w:color="000000" w:sz="4" w:space="0"/>
            </w:tcBorders>
          </w:tcPr>
          <w:p w14:paraId="2BCB53FC">
            <w:pPr>
              <w:spacing w:after="0" w:line="259" w:lineRule="auto"/>
              <w:ind w:left="2" w:firstLine="0"/>
              <w:jc w:val="left"/>
            </w:pPr>
            <w:r>
              <w:t xml:space="preserve">Opening of an issuance account                                                    </w:t>
            </w:r>
          </w:p>
        </w:tc>
        <w:tc>
          <w:tcPr>
            <w:tcW w:w="3400" w:type="dxa"/>
            <w:tcBorders>
              <w:top w:val="single" w:color="000000" w:sz="4" w:space="0"/>
              <w:left w:val="single" w:color="000000" w:sz="4" w:space="0"/>
              <w:bottom w:val="single" w:color="000000" w:sz="4" w:space="0"/>
              <w:right w:val="single" w:color="000000" w:sz="4" w:space="0"/>
            </w:tcBorders>
          </w:tcPr>
          <w:p w14:paraId="3261A6A4">
            <w:pPr>
              <w:spacing w:after="0" w:line="259" w:lineRule="auto"/>
              <w:ind w:left="2" w:firstLine="0"/>
              <w:jc w:val="left"/>
            </w:pPr>
            <w:r>
              <w:t xml:space="preserve">Up to RSD 500,000 </w:t>
            </w:r>
          </w:p>
        </w:tc>
      </w:tr>
      <w:tr w14:paraId="25CBB6CD">
        <w:tblPrEx>
          <w:tblCellMar>
            <w:top w:w="49" w:type="dxa"/>
            <w:left w:w="106" w:type="dxa"/>
            <w:bottom w:w="0" w:type="dxa"/>
            <w:right w:w="0" w:type="dxa"/>
          </w:tblCellMar>
        </w:tblPrEx>
        <w:trPr>
          <w:trHeight w:val="634" w:hRule="atLeast"/>
        </w:trPr>
        <w:tc>
          <w:tcPr>
            <w:tcW w:w="992" w:type="dxa"/>
            <w:tcBorders>
              <w:top w:val="single" w:color="000000" w:sz="4" w:space="0"/>
              <w:left w:val="single" w:color="000000" w:sz="4" w:space="0"/>
              <w:bottom w:val="single" w:color="000000" w:sz="4" w:space="0"/>
              <w:right w:val="single" w:color="000000" w:sz="4" w:space="0"/>
            </w:tcBorders>
          </w:tcPr>
          <w:p w14:paraId="043F9F04">
            <w:pPr>
              <w:spacing w:after="0" w:line="259" w:lineRule="auto"/>
              <w:ind w:left="0" w:firstLine="0"/>
              <w:jc w:val="left"/>
            </w:pPr>
            <w:r>
              <w:t xml:space="preserve">18. </w:t>
            </w:r>
          </w:p>
        </w:tc>
        <w:tc>
          <w:tcPr>
            <w:tcW w:w="4962" w:type="dxa"/>
            <w:tcBorders>
              <w:top w:val="single" w:color="000000" w:sz="4" w:space="0"/>
              <w:left w:val="single" w:color="000000" w:sz="4" w:space="0"/>
              <w:bottom w:val="single" w:color="000000" w:sz="4" w:space="0"/>
              <w:right w:val="single" w:color="000000" w:sz="4" w:space="0"/>
            </w:tcBorders>
          </w:tcPr>
          <w:p w14:paraId="17C4090A">
            <w:pPr>
              <w:spacing w:after="0" w:line="259" w:lineRule="auto"/>
              <w:ind w:left="2" w:firstLine="0"/>
              <w:jc w:val="left"/>
            </w:pPr>
            <w:r>
              <w:t>Fee for the maintenance of an issuance account for financial instruments</w:t>
            </w:r>
          </w:p>
        </w:tc>
        <w:tc>
          <w:tcPr>
            <w:tcW w:w="3400" w:type="dxa"/>
            <w:tcBorders>
              <w:top w:val="single" w:color="000000" w:sz="4" w:space="0"/>
              <w:left w:val="single" w:color="000000" w:sz="4" w:space="0"/>
              <w:bottom w:val="single" w:color="000000" w:sz="4" w:space="0"/>
              <w:right w:val="single" w:color="000000" w:sz="4" w:space="0"/>
            </w:tcBorders>
          </w:tcPr>
          <w:p w14:paraId="569B7B08">
            <w:pPr>
              <w:spacing w:after="0" w:line="259" w:lineRule="auto"/>
              <w:ind w:left="2" w:firstLine="0"/>
            </w:pPr>
            <w:r>
              <w:t xml:space="preserve">Maximum fee: Up to 100,000.00 per account per month. </w:t>
            </w:r>
          </w:p>
        </w:tc>
      </w:tr>
      <w:tr w14:paraId="7E1AE846">
        <w:tblPrEx>
          <w:tblCellMar>
            <w:top w:w="49" w:type="dxa"/>
            <w:left w:w="106" w:type="dxa"/>
            <w:bottom w:w="0" w:type="dxa"/>
            <w:right w:w="0" w:type="dxa"/>
          </w:tblCellMar>
        </w:tblPrEx>
        <w:trPr>
          <w:trHeight w:val="384" w:hRule="atLeast"/>
        </w:trPr>
        <w:tc>
          <w:tcPr>
            <w:tcW w:w="992" w:type="dxa"/>
            <w:tcBorders>
              <w:top w:val="single" w:color="000000" w:sz="4" w:space="0"/>
              <w:left w:val="single" w:color="000000" w:sz="4" w:space="0"/>
              <w:bottom w:val="single" w:color="000000" w:sz="4" w:space="0"/>
              <w:right w:val="single" w:color="000000" w:sz="4" w:space="0"/>
            </w:tcBorders>
          </w:tcPr>
          <w:p w14:paraId="1330A899">
            <w:pPr>
              <w:spacing w:after="0" w:line="259" w:lineRule="auto"/>
              <w:ind w:left="0" w:firstLine="0"/>
              <w:jc w:val="left"/>
            </w:pPr>
            <w:r>
              <w:t xml:space="preserve">19. </w:t>
            </w:r>
          </w:p>
        </w:tc>
        <w:tc>
          <w:tcPr>
            <w:tcW w:w="4962" w:type="dxa"/>
            <w:tcBorders>
              <w:top w:val="single" w:color="000000" w:sz="4" w:space="0"/>
              <w:left w:val="single" w:color="000000" w:sz="4" w:space="0"/>
              <w:bottom w:val="single" w:color="000000" w:sz="4" w:space="0"/>
              <w:right w:val="single" w:color="000000" w:sz="4" w:space="0"/>
            </w:tcBorders>
          </w:tcPr>
          <w:p w14:paraId="4CC0AC0E">
            <w:pPr>
              <w:spacing w:after="0" w:line="259" w:lineRule="auto"/>
              <w:ind w:left="2" w:firstLine="0"/>
              <w:jc w:val="left"/>
            </w:pPr>
            <w:r>
              <w:t xml:space="preserve">Applying for the assignment of a CFI code and an ISIN number  </w:t>
            </w:r>
          </w:p>
        </w:tc>
        <w:tc>
          <w:tcPr>
            <w:tcW w:w="3400" w:type="dxa"/>
            <w:tcBorders>
              <w:top w:val="single" w:color="000000" w:sz="4" w:space="0"/>
              <w:left w:val="single" w:color="000000" w:sz="4" w:space="0"/>
              <w:bottom w:val="single" w:color="000000" w:sz="4" w:space="0"/>
              <w:right w:val="single" w:color="000000" w:sz="4" w:space="0"/>
            </w:tcBorders>
          </w:tcPr>
          <w:p w14:paraId="169570F3">
            <w:pPr>
              <w:spacing w:after="0" w:line="259" w:lineRule="auto"/>
              <w:ind w:left="2" w:firstLine="0"/>
              <w:jc w:val="left"/>
            </w:pPr>
            <w:r>
              <w:t xml:space="preserve">Up to RSD 100,000 </w:t>
            </w:r>
          </w:p>
        </w:tc>
      </w:tr>
      <w:tr w14:paraId="3808C0E4">
        <w:tblPrEx>
          <w:tblCellMar>
            <w:top w:w="49" w:type="dxa"/>
            <w:left w:w="106" w:type="dxa"/>
            <w:bottom w:w="0" w:type="dxa"/>
            <w:right w:w="0" w:type="dxa"/>
          </w:tblCellMar>
        </w:tblPrEx>
        <w:trPr>
          <w:trHeight w:val="382" w:hRule="atLeast"/>
        </w:trPr>
        <w:tc>
          <w:tcPr>
            <w:tcW w:w="992" w:type="dxa"/>
            <w:tcBorders>
              <w:top w:val="single" w:color="000000" w:sz="4" w:space="0"/>
              <w:left w:val="single" w:color="000000" w:sz="4" w:space="0"/>
              <w:bottom w:val="single" w:color="000000" w:sz="4" w:space="0"/>
              <w:right w:val="single" w:color="000000" w:sz="4" w:space="0"/>
            </w:tcBorders>
          </w:tcPr>
          <w:p w14:paraId="694DC900">
            <w:pPr>
              <w:spacing w:after="0" w:line="259" w:lineRule="auto"/>
              <w:ind w:left="0" w:firstLine="0"/>
              <w:jc w:val="left"/>
            </w:pPr>
            <w:r>
              <w:t xml:space="preserve">20. </w:t>
            </w:r>
          </w:p>
        </w:tc>
        <w:tc>
          <w:tcPr>
            <w:tcW w:w="4962" w:type="dxa"/>
            <w:tcBorders>
              <w:top w:val="single" w:color="000000" w:sz="4" w:space="0"/>
              <w:left w:val="single" w:color="000000" w:sz="4" w:space="0"/>
              <w:bottom w:val="single" w:color="000000" w:sz="4" w:space="0"/>
              <w:right w:val="single" w:color="000000" w:sz="4" w:space="0"/>
            </w:tcBorders>
          </w:tcPr>
          <w:p w14:paraId="682503B4">
            <w:pPr>
              <w:spacing w:after="0" w:line="259" w:lineRule="auto"/>
              <w:ind w:left="2" w:firstLine="0"/>
              <w:jc w:val="left"/>
            </w:pPr>
            <w:r>
              <w:t xml:space="preserve">Monthly maintenance (administration) of an issuance account   </w:t>
            </w:r>
          </w:p>
        </w:tc>
        <w:tc>
          <w:tcPr>
            <w:tcW w:w="3400" w:type="dxa"/>
            <w:tcBorders>
              <w:top w:val="single" w:color="000000" w:sz="4" w:space="0"/>
              <w:left w:val="single" w:color="000000" w:sz="4" w:space="0"/>
              <w:bottom w:val="single" w:color="000000" w:sz="4" w:space="0"/>
              <w:right w:val="single" w:color="000000" w:sz="4" w:space="0"/>
            </w:tcBorders>
          </w:tcPr>
          <w:p w14:paraId="6F0BF025">
            <w:pPr>
              <w:spacing w:after="0" w:line="259" w:lineRule="auto"/>
              <w:ind w:left="2" w:firstLine="0"/>
              <w:jc w:val="left"/>
            </w:pPr>
            <w:r>
              <w:t xml:space="preserve">Up to RSD 200,000 </w:t>
            </w:r>
          </w:p>
        </w:tc>
      </w:tr>
      <w:tr w14:paraId="68FBFBBA">
        <w:tblPrEx>
          <w:tblCellMar>
            <w:top w:w="50" w:type="dxa"/>
            <w:left w:w="108" w:type="dxa"/>
            <w:bottom w:w="0" w:type="dxa"/>
            <w:right w:w="58" w:type="dxa"/>
          </w:tblCellMar>
        </w:tblPrEx>
        <w:trPr>
          <w:trHeight w:val="382" w:hRule="atLeast"/>
        </w:trPr>
        <w:tc>
          <w:tcPr>
            <w:tcW w:w="994" w:type="dxa"/>
            <w:tcBorders>
              <w:top w:val="single" w:color="000000" w:sz="4" w:space="0"/>
              <w:left w:val="single" w:color="000000" w:sz="4" w:space="0"/>
              <w:bottom w:val="single" w:color="000000" w:sz="4" w:space="0"/>
              <w:right w:val="single" w:color="000000" w:sz="4" w:space="0"/>
            </w:tcBorders>
          </w:tcPr>
          <w:p w14:paraId="279786A5">
            <w:pPr>
              <w:spacing w:after="0" w:line="259" w:lineRule="auto"/>
              <w:ind w:left="0" w:firstLine="0"/>
              <w:jc w:val="left"/>
            </w:pPr>
            <w:r>
              <w:t xml:space="preserve">21. </w:t>
            </w:r>
          </w:p>
        </w:tc>
        <w:tc>
          <w:tcPr>
            <w:tcW w:w="4962" w:type="dxa"/>
            <w:tcBorders>
              <w:top w:val="single" w:color="000000" w:sz="4" w:space="0"/>
              <w:left w:val="single" w:color="000000" w:sz="4" w:space="0"/>
              <w:bottom w:val="single" w:color="000000" w:sz="4" w:space="0"/>
              <w:right w:val="single" w:color="000000" w:sz="4" w:space="0"/>
            </w:tcBorders>
          </w:tcPr>
          <w:p w14:paraId="7B1525E7">
            <w:pPr>
              <w:tabs>
                <w:tab w:val="center" w:pos="1119"/>
                <w:tab w:val="center" w:pos="3213"/>
                <w:tab w:val="center" w:pos="4249"/>
              </w:tabs>
              <w:spacing w:after="0" w:line="259" w:lineRule="auto"/>
              <w:ind w:left="0" w:firstLine="0"/>
              <w:jc w:val="left"/>
            </w:pPr>
            <w:r>
              <w:rPr>
                <w:rFonts w:ascii="Calibri" w:hAnsi="Calibri" w:eastAsia="Calibri" w:cs="Calibri"/>
              </w:rPr>
              <w:tab/>
            </w:r>
            <w:r>
              <w:t>Replacement of securities at the Central Securities Registry</w:t>
            </w:r>
            <w:r>
              <w:tab/>
            </w:r>
            <w:r>
              <w:t xml:space="preserve">  </w:t>
            </w:r>
          </w:p>
        </w:tc>
        <w:tc>
          <w:tcPr>
            <w:tcW w:w="3401" w:type="dxa"/>
            <w:tcBorders>
              <w:top w:val="single" w:color="000000" w:sz="4" w:space="0"/>
              <w:left w:val="single" w:color="000000" w:sz="4" w:space="0"/>
              <w:bottom w:val="single" w:color="000000" w:sz="4" w:space="0"/>
              <w:right w:val="single" w:color="000000" w:sz="4" w:space="0"/>
            </w:tcBorders>
          </w:tcPr>
          <w:p w14:paraId="755C176F">
            <w:pPr>
              <w:spacing w:after="0" w:line="259" w:lineRule="auto"/>
              <w:ind w:left="0" w:firstLine="0"/>
              <w:jc w:val="left"/>
            </w:pPr>
            <w:r>
              <w:t xml:space="preserve">Up to RSD 500,000 </w:t>
            </w:r>
          </w:p>
        </w:tc>
      </w:tr>
      <w:tr w14:paraId="39A7BA43">
        <w:tblPrEx>
          <w:tblCellMar>
            <w:top w:w="50" w:type="dxa"/>
            <w:left w:w="108" w:type="dxa"/>
            <w:bottom w:w="0" w:type="dxa"/>
            <w:right w:w="58" w:type="dxa"/>
          </w:tblCellMar>
        </w:tblPrEx>
        <w:trPr>
          <w:trHeight w:val="444" w:hRule="atLeast"/>
        </w:trPr>
        <w:tc>
          <w:tcPr>
            <w:tcW w:w="994" w:type="dxa"/>
            <w:tcBorders>
              <w:top w:val="single" w:color="000000" w:sz="4" w:space="0"/>
              <w:left w:val="single" w:color="000000" w:sz="4" w:space="0"/>
              <w:bottom w:val="single" w:color="000000" w:sz="4" w:space="0"/>
              <w:right w:val="single" w:color="000000" w:sz="4" w:space="0"/>
            </w:tcBorders>
          </w:tcPr>
          <w:p w14:paraId="25F4F8E5">
            <w:pPr>
              <w:spacing w:after="0" w:line="259" w:lineRule="auto"/>
              <w:ind w:left="0" w:firstLine="0"/>
              <w:jc w:val="left"/>
            </w:pPr>
            <w:r>
              <w:t xml:space="preserve">22. </w:t>
            </w:r>
          </w:p>
        </w:tc>
        <w:tc>
          <w:tcPr>
            <w:tcW w:w="4962" w:type="dxa"/>
            <w:tcBorders>
              <w:top w:val="single" w:color="000000" w:sz="4" w:space="0"/>
              <w:left w:val="single" w:color="000000" w:sz="4" w:space="0"/>
              <w:bottom w:val="single" w:color="000000" w:sz="4" w:space="0"/>
              <w:right w:val="single" w:color="000000" w:sz="4" w:space="0"/>
            </w:tcBorders>
          </w:tcPr>
          <w:p w14:paraId="41FD395D">
            <w:pPr>
              <w:spacing w:after="0" w:line="259" w:lineRule="auto"/>
              <w:ind w:left="0" w:firstLine="0"/>
              <w:jc w:val="left"/>
            </w:pPr>
            <w:r>
              <w:t xml:space="preserve">Notice of invitation to the shareholders’ meeting </w:t>
            </w:r>
          </w:p>
        </w:tc>
        <w:tc>
          <w:tcPr>
            <w:tcW w:w="3401" w:type="dxa"/>
            <w:tcBorders>
              <w:top w:val="single" w:color="000000" w:sz="4" w:space="0"/>
              <w:left w:val="single" w:color="000000" w:sz="4" w:space="0"/>
              <w:bottom w:val="single" w:color="000000" w:sz="4" w:space="0"/>
              <w:right w:val="single" w:color="000000" w:sz="4" w:space="0"/>
            </w:tcBorders>
          </w:tcPr>
          <w:p w14:paraId="2A8E8C43">
            <w:pPr>
              <w:spacing w:after="0" w:line="259" w:lineRule="auto"/>
              <w:ind w:left="0" w:firstLine="0"/>
              <w:jc w:val="left"/>
            </w:pPr>
            <w:r>
              <w:t xml:space="preserve">Up to RSD 10,000 </w:t>
            </w:r>
          </w:p>
        </w:tc>
      </w:tr>
      <w:tr w14:paraId="11BDFFD9">
        <w:tblPrEx>
          <w:tblCellMar>
            <w:top w:w="50" w:type="dxa"/>
            <w:left w:w="108" w:type="dxa"/>
            <w:bottom w:w="0" w:type="dxa"/>
            <w:right w:w="58" w:type="dxa"/>
          </w:tblCellMar>
        </w:tblPrEx>
        <w:trPr>
          <w:trHeight w:val="382" w:hRule="atLeast"/>
        </w:trPr>
        <w:tc>
          <w:tcPr>
            <w:tcW w:w="994" w:type="dxa"/>
            <w:tcBorders>
              <w:top w:val="single" w:color="000000" w:sz="4" w:space="0"/>
              <w:left w:val="single" w:color="000000" w:sz="4" w:space="0"/>
              <w:bottom w:val="single" w:color="000000" w:sz="4" w:space="0"/>
              <w:right w:val="single" w:color="000000" w:sz="4" w:space="0"/>
            </w:tcBorders>
          </w:tcPr>
          <w:p w14:paraId="72A16099">
            <w:pPr>
              <w:spacing w:after="0" w:line="259" w:lineRule="auto"/>
              <w:ind w:left="0" w:firstLine="0"/>
              <w:jc w:val="left"/>
            </w:pPr>
            <w:r>
              <w:t xml:space="preserve">23. </w:t>
            </w:r>
          </w:p>
        </w:tc>
        <w:tc>
          <w:tcPr>
            <w:tcW w:w="4962" w:type="dxa"/>
            <w:tcBorders>
              <w:top w:val="single" w:color="000000" w:sz="4" w:space="0"/>
              <w:left w:val="single" w:color="000000" w:sz="4" w:space="0"/>
              <w:bottom w:val="single" w:color="000000" w:sz="4" w:space="0"/>
              <w:right w:val="single" w:color="000000" w:sz="4" w:space="0"/>
            </w:tcBorders>
          </w:tcPr>
          <w:p w14:paraId="3403B9A1">
            <w:pPr>
              <w:spacing w:after="0" w:line="259" w:lineRule="auto"/>
              <w:ind w:left="0" w:firstLine="0"/>
              <w:jc w:val="left"/>
            </w:pPr>
            <w:r>
              <w:t xml:space="preserve">Provision of the single register of shareholders  </w:t>
            </w:r>
          </w:p>
        </w:tc>
        <w:tc>
          <w:tcPr>
            <w:tcW w:w="3401" w:type="dxa"/>
            <w:tcBorders>
              <w:top w:val="single" w:color="000000" w:sz="4" w:space="0"/>
              <w:left w:val="single" w:color="000000" w:sz="4" w:space="0"/>
              <w:bottom w:val="single" w:color="000000" w:sz="4" w:space="0"/>
              <w:right w:val="single" w:color="000000" w:sz="4" w:space="0"/>
            </w:tcBorders>
          </w:tcPr>
          <w:p w14:paraId="0DF52CA2">
            <w:pPr>
              <w:spacing w:after="0" w:line="259" w:lineRule="auto"/>
              <w:ind w:left="0" w:firstLine="0"/>
              <w:jc w:val="left"/>
            </w:pPr>
            <w:r>
              <w:t xml:space="preserve">RSD 6,000 </w:t>
            </w:r>
          </w:p>
        </w:tc>
      </w:tr>
      <w:tr w14:paraId="28D10D24">
        <w:tblPrEx>
          <w:tblCellMar>
            <w:top w:w="50" w:type="dxa"/>
            <w:left w:w="108" w:type="dxa"/>
            <w:bottom w:w="0" w:type="dxa"/>
            <w:right w:w="58" w:type="dxa"/>
          </w:tblCellMar>
        </w:tblPrEx>
        <w:trPr>
          <w:trHeight w:val="384" w:hRule="atLeast"/>
        </w:trPr>
        <w:tc>
          <w:tcPr>
            <w:tcW w:w="994" w:type="dxa"/>
            <w:tcBorders>
              <w:top w:val="single" w:color="000000" w:sz="4" w:space="0"/>
              <w:left w:val="single" w:color="000000" w:sz="4" w:space="0"/>
              <w:bottom w:val="single" w:color="000000" w:sz="4" w:space="0"/>
              <w:right w:val="single" w:color="000000" w:sz="4" w:space="0"/>
            </w:tcBorders>
          </w:tcPr>
          <w:p w14:paraId="410CD5C3">
            <w:pPr>
              <w:spacing w:after="0" w:line="259" w:lineRule="auto"/>
              <w:ind w:left="0" w:firstLine="0"/>
              <w:jc w:val="left"/>
            </w:pPr>
            <w:r>
              <w:t xml:space="preserve">24. </w:t>
            </w:r>
          </w:p>
        </w:tc>
        <w:tc>
          <w:tcPr>
            <w:tcW w:w="4962" w:type="dxa"/>
            <w:tcBorders>
              <w:top w:val="single" w:color="000000" w:sz="4" w:space="0"/>
              <w:left w:val="single" w:color="000000" w:sz="4" w:space="0"/>
              <w:bottom w:val="single" w:color="000000" w:sz="4" w:space="0"/>
              <w:right w:val="single" w:color="000000" w:sz="4" w:space="0"/>
            </w:tcBorders>
          </w:tcPr>
          <w:p w14:paraId="247180F1">
            <w:pPr>
              <w:tabs>
                <w:tab w:val="center" w:pos="1489"/>
                <w:tab w:val="center" w:pos="3541"/>
                <w:tab w:val="center" w:pos="4249"/>
              </w:tabs>
              <w:spacing w:after="0" w:line="259" w:lineRule="auto"/>
              <w:ind w:left="0" w:firstLine="0"/>
              <w:jc w:val="left"/>
            </w:pPr>
            <w:r>
              <w:rPr>
                <w:rFonts w:ascii="Calibri" w:hAnsi="Calibri" w:eastAsia="Calibri" w:cs="Calibri"/>
              </w:rPr>
              <w:tab/>
            </w:r>
            <w:r>
              <w:t>Homogenisation of shares by series</w:t>
            </w:r>
            <w:r>
              <w:tab/>
            </w:r>
            <w:r>
              <w:t xml:space="preserve"> </w:t>
            </w:r>
            <w:r>
              <w:tab/>
            </w:r>
            <w:r>
              <w:t xml:space="preserve">  </w:t>
            </w:r>
          </w:p>
        </w:tc>
        <w:tc>
          <w:tcPr>
            <w:tcW w:w="3401" w:type="dxa"/>
            <w:tcBorders>
              <w:top w:val="single" w:color="000000" w:sz="4" w:space="0"/>
              <w:left w:val="single" w:color="000000" w:sz="4" w:space="0"/>
              <w:bottom w:val="single" w:color="000000" w:sz="4" w:space="0"/>
              <w:right w:val="single" w:color="000000" w:sz="4" w:space="0"/>
            </w:tcBorders>
          </w:tcPr>
          <w:p w14:paraId="316C74FE">
            <w:pPr>
              <w:spacing w:after="0" w:line="259" w:lineRule="auto"/>
              <w:ind w:left="0" w:firstLine="0"/>
              <w:jc w:val="left"/>
            </w:pPr>
            <w:r>
              <w:t xml:space="preserve">RSD 500,000 </w:t>
            </w:r>
          </w:p>
        </w:tc>
      </w:tr>
      <w:tr w14:paraId="43A38F94">
        <w:tblPrEx>
          <w:tblCellMar>
            <w:top w:w="50" w:type="dxa"/>
            <w:left w:w="108" w:type="dxa"/>
            <w:bottom w:w="0" w:type="dxa"/>
            <w:right w:w="58" w:type="dxa"/>
          </w:tblCellMar>
        </w:tblPrEx>
        <w:trPr>
          <w:trHeight w:val="886" w:hRule="atLeast"/>
        </w:trPr>
        <w:tc>
          <w:tcPr>
            <w:tcW w:w="994" w:type="dxa"/>
            <w:tcBorders>
              <w:top w:val="single" w:color="000000" w:sz="4" w:space="0"/>
              <w:left w:val="single" w:color="000000" w:sz="4" w:space="0"/>
              <w:bottom w:val="single" w:color="000000" w:sz="4" w:space="0"/>
              <w:right w:val="single" w:color="000000" w:sz="4" w:space="0"/>
            </w:tcBorders>
          </w:tcPr>
          <w:p w14:paraId="76F1E1E3">
            <w:pPr>
              <w:spacing w:after="0" w:line="259" w:lineRule="auto"/>
              <w:ind w:left="0" w:firstLine="0"/>
              <w:jc w:val="left"/>
            </w:pPr>
            <w:r>
              <w:t xml:space="preserve">25. </w:t>
            </w:r>
          </w:p>
        </w:tc>
        <w:tc>
          <w:tcPr>
            <w:tcW w:w="4962" w:type="dxa"/>
            <w:tcBorders>
              <w:top w:val="single" w:color="000000" w:sz="4" w:space="0"/>
              <w:left w:val="single" w:color="000000" w:sz="4" w:space="0"/>
              <w:bottom w:val="single" w:color="000000" w:sz="4" w:space="0"/>
              <w:right w:val="single" w:color="000000" w:sz="4" w:space="0"/>
            </w:tcBorders>
          </w:tcPr>
          <w:p w14:paraId="3873AA11">
            <w:pPr>
              <w:spacing w:after="0" w:line="259" w:lineRule="auto"/>
              <w:ind w:left="0" w:right="52" w:firstLine="0"/>
            </w:pPr>
            <w:r>
              <w:t xml:space="preserve">Fee from the buyer for drafting a takeover bid for shares, acquisition of own shares (redemption, cancellation, sale)  </w:t>
            </w:r>
          </w:p>
        </w:tc>
        <w:tc>
          <w:tcPr>
            <w:tcW w:w="3401" w:type="dxa"/>
            <w:tcBorders>
              <w:top w:val="single" w:color="000000" w:sz="4" w:space="0"/>
              <w:left w:val="single" w:color="000000" w:sz="4" w:space="0"/>
              <w:bottom w:val="single" w:color="000000" w:sz="4" w:space="0"/>
              <w:right w:val="single" w:color="000000" w:sz="4" w:space="0"/>
            </w:tcBorders>
          </w:tcPr>
          <w:p w14:paraId="48501788">
            <w:pPr>
              <w:spacing w:after="0" w:line="259" w:lineRule="auto"/>
              <w:ind w:left="0" w:firstLine="0"/>
            </w:pPr>
            <w:r>
              <w:t>Up to 9.99% of the transaction value and a fee of up to RSD 1,000,000</w:t>
            </w:r>
            <w:r>
              <w:rPr>
                <w:b/>
              </w:rPr>
              <w:t xml:space="preserve"> </w:t>
            </w:r>
          </w:p>
        </w:tc>
      </w:tr>
      <w:tr w14:paraId="2BCA714B">
        <w:tblPrEx>
          <w:tblCellMar>
            <w:top w:w="50" w:type="dxa"/>
            <w:left w:w="108" w:type="dxa"/>
            <w:bottom w:w="0" w:type="dxa"/>
            <w:right w:w="58" w:type="dxa"/>
          </w:tblCellMar>
        </w:tblPrEx>
        <w:trPr>
          <w:trHeight w:val="384" w:hRule="atLeast"/>
        </w:trPr>
        <w:tc>
          <w:tcPr>
            <w:tcW w:w="994" w:type="dxa"/>
            <w:tcBorders>
              <w:top w:val="single" w:color="000000" w:sz="4" w:space="0"/>
              <w:left w:val="single" w:color="000000" w:sz="4" w:space="0"/>
              <w:bottom w:val="single" w:color="000000" w:sz="4" w:space="0"/>
              <w:right w:val="single" w:color="000000" w:sz="4" w:space="0"/>
            </w:tcBorders>
          </w:tcPr>
          <w:p w14:paraId="74C7EC11">
            <w:pPr>
              <w:spacing w:after="0" w:line="259" w:lineRule="auto"/>
              <w:ind w:left="0" w:firstLine="0"/>
              <w:jc w:val="left"/>
            </w:pPr>
            <w:r>
              <w:t xml:space="preserve">26. </w:t>
            </w:r>
          </w:p>
        </w:tc>
        <w:tc>
          <w:tcPr>
            <w:tcW w:w="4962" w:type="dxa"/>
            <w:tcBorders>
              <w:top w:val="single" w:color="000000" w:sz="4" w:space="0"/>
              <w:left w:val="single" w:color="000000" w:sz="4" w:space="0"/>
              <w:bottom w:val="single" w:color="000000" w:sz="4" w:space="0"/>
              <w:right w:val="single" w:color="000000" w:sz="4" w:space="0"/>
            </w:tcBorders>
          </w:tcPr>
          <w:p w14:paraId="34B83712">
            <w:pPr>
              <w:spacing w:after="0" w:line="259" w:lineRule="auto"/>
              <w:ind w:left="0" w:firstLine="0"/>
              <w:jc w:val="left"/>
            </w:pPr>
            <w:r>
              <w:t>Reconciliation of the shareholder register</w:t>
            </w:r>
          </w:p>
        </w:tc>
        <w:tc>
          <w:tcPr>
            <w:tcW w:w="3401" w:type="dxa"/>
            <w:tcBorders>
              <w:top w:val="single" w:color="000000" w:sz="4" w:space="0"/>
              <w:left w:val="single" w:color="000000" w:sz="4" w:space="0"/>
              <w:bottom w:val="single" w:color="000000" w:sz="4" w:space="0"/>
              <w:right w:val="single" w:color="000000" w:sz="4" w:space="0"/>
            </w:tcBorders>
          </w:tcPr>
          <w:p w14:paraId="1A2580C9">
            <w:pPr>
              <w:spacing w:after="0" w:line="259" w:lineRule="auto"/>
              <w:ind w:left="0" w:firstLine="0"/>
              <w:jc w:val="left"/>
            </w:pPr>
            <w:r>
              <w:t xml:space="preserve">Up to RSD 500,000 </w:t>
            </w:r>
          </w:p>
        </w:tc>
      </w:tr>
      <w:tr w14:paraId="09BF0348">
        <w:tblPrEx>
          <w:tblCellMar>
            <w:top w:w="50" w:type="dxa"/>
            <w:left w:w="108" w:type="dxa"/>
            <w:bottom w:w="0" w:type="dxa"/>
            <w:right w:w="58" w:type="dxa"/>
          </w:tblCellMar>
        </w:tblPrEx>
        <w:trPr>
          <w:trHeight w:val="754" w:hRule="atLeast"/>
        </w:trPr>
        <w:tc>
          <w:tcPr>
            <w:tcW w:w="994" w:type="dxa"/>
            <w:tcBorders>
              <w:top w:val="single" w:color="000000" w:sz="4" w:space="0"/>
              <w:left w:val="single" w:color="000000" w:sz="4" w:space="0"/>
              <w:bottom w:val="single" w:color="000000" w:sz="4" w:space="0"/>
              <w:right w:val="single" w:color="000000" w:sz="4" w:space="0"/>
            </w:tcBorders>
          </w:tcPr>
          <w:p w14:paraId="10690EA9">
            <w:pPr>
              <w:spacing w:after="0" w:line="259" w:lineRule="auto"/>
              <w:ind w:left="0" w:firstLine="0"/>
              <w:jc w:val="left"/>
            </w:pPr>
            <w:r>
              <w:t xml:space="preserve">27. </w:t>
            </w:r>
          </w:p>
        </w:tc>
        <w:tc>
          <w:tcPr>
            <w:tcW w:w="4962" w:type="dxa"/>
            <w:tcBorders>
              <w:top w:val="single" w:color="000000" w:sz="4" w:space="0"/>
              <w:left w:val="single" w:color="000000" w:sz="4" w:space="0"/>
              <w:bottom w:val="single" w:color="000000" w:sz="4" w:space="0"/>
              <w:right w:val="single" w:color="000000" w:sz="4" w:space="0"/>
            </w:tcBorders>
            <w:vAlign w:val="center"/>
          </w:tcPr>
          <w:p w14:paraId="296416A7">
            <w:pPr>
              <w:spacing w:after="0" w:line="259" w:lineRule="auto"/>
              <w:ind w:left="0" w:firstLine="0"/>
              <w:jc w:val="left"/>
            </w:pPr>
            <w:r>
              <w:t xml:space="preserve">Applying for delisting of shares from the Belgrade Stock Exchange </w:t>
            </w:r>
          </w:p>
          <w:p w14:paraId="7FC5D36A">
            <w:pPr>
              <w:tabs>
                <w:tab w:val="center" w:pos="733"/>
                <w:tab w:val="center" w:pos="2125"/>
              </w:tabs>
              <w:spacing w:after="0" w:line="259" w:lineRule="auto"/>
              <w:ind w:left="0" w:firstLine="0"/>
              <w:jc w:val="left"/>
            </w:pPr>
            <w:r>
              <w:tab/>
            </w:r>
            <w:r>
              <w:t xml:space="preserve"> </w:t>
            </w:r>
          </w:p>
        </w:tc>
        <w:tc>
          <w:tcPr>
            <w:tcW w:w="3401" w:type="dxa"/>
            <w:tcBorders>
              <w:top w:val="single" w:color="000000" w:sz="4" w:space="0"/>
              <w:left w:val="single" w:color="000000" w:sz="4" w:space="0"/>
              <w:bottom w:val="single" w:color="000000" w:sz="4" w:space="0"/>
              <w:right w:val="single" w:color="000000" w:sz="4" w:space="0"/>
            </w:tcBorders>
          </w:tcPr>
          <w:p w14:paraId="634C8609">
            <w:pPr>
              <w:spacing w:after="0" w:line="259" w:lineRule="auto"/>
              <w:ind w:left="0" w:firstLine="0"/>
              <w:jc w:val="left"/>
            </w:pPr>
            <w:r>
              <w:t xml:space="preserve">Up to RSD 500,000 </w:t>
            </w:r>
          </w:p>
        </w:tc>
      </w:tr>
      <w:tr w14:paraId="01BEDAB2">
        <w:tblPrEx>
          <w:tblCellMar>
            <w:top w:w="50" w:type="dxa"/>
            <w:left w:w="108" w:type="dxa"/>
            <w:bottom w:w="0" w:type="dxa"/>
            <w:right w:w="58" w:type="dxa"/>
          </w:tblCellMar>
        </w:tblPrEx>
        <w:trPr>
          <w:trHeight w:val="888" w:hRule="atLeast"/>
        </w:trPr>
        <w:tc>
          <w:tcPr>
            <w:tcW w:w="994" w:type="dxa"/>
            <w:tcBorders>
              <w:top w:val="single" w:color="000000" w:sz="4" w:space="0"/>
              <w:left w:val="single" w:color="000000" w:sz="4" w:space="0"/>
              <w:bottom w:val="single" w:color="000000" w:sz="4" w:space="0"/>
              <w:right w:val="single" w:color="000000" w:sz="4" w:space="0"/>
            </w:tcBorders>
          </w:tcPr>
          <w:p w14:paraId="7FED85DE">
            <w:pPr>
              <w:spacing w:after="0" w:line="259" w:lineRule="auto"/>
              <w:ind w:left="0" w:firstLine="0"/>
              <w:jc w:val="left"/>
            </w:pPr>
            <w:r>
              <w:t xml:space="preserve">28. </w:t>
            </w:r>
          </w:p>
        </w:tc>
        <w:tc>
          <w:tcPr>
            <w:tcW w:w="4962" w:type="dxa"/>
            <w:tcBorders>
              <w:top w:val="single" w:color="000000" w:sz="4" w:space="0"/>
              <w:left w:val="single" w:color="000000" w:sz="4" w:space="0"/>
              <w:bottom w:val="single" w:color="000000" w:sz="4" w:space="0"/>
              <w:right w:val="single" w:color="000000" w:sz="4" w:space="0"/>
            </w:tcBorders>
          </w:tcPr>
          <w:p w14:paraId="56359600">
            <w:pPr>
              <w:spacing w:after="0" w:line="259" w:lineRule="auto"/>
              <w:ind w:left="0" w:right="49" w:firstLine="0"/>
            </w:pPr>
            <w:r>
              <w:t xml:space="preserve">Deregistration of financial instruments from the Central Securities Registry due to a change in legal form or status changes resulting in deregistration of the issuer’s financial instruments </w:t>
            </w:r>
          </w:p>
        </w:tc>
        <w:tc>
          <w:tcPr>
            <w:tcW w:w="3401" w:type="dxa"/>
            <w:tcBorders>
              <w:top w:val="single" w:color="000000" w:sz="4" w:space="0"/>
              <w:left w:val="single" w:color="000000" w:sz="4" w:space="0"/>
              <w:bottom w:val="single" w:color="000000" w:sz="4" w:space="0"/>
              <w:right w:val="single" w:color="000000" w:sz="4" w:space="0"/>
            </w:tcBorders>
          </w:tcPr>
          <w:p w14:paraId="60C85DAF">
            <w:pPr>
              <w:spacing w:after="0" w:line="259" w:lineRule="auto"/>
              <w:ind w:left="0" w:firstLine="0"/>
              <w:jc w:val="left"/>
            </w:pPr>
            <w:r>
              <w:t xml:space="preserve">Up to RSD 350,000 </w:t>
            </w:r>
          </w:p>
        </w:tc>
      </w:tr>
      <w:tr w14:paraId="7514060B">
        <w:tblPrEx>
          <w:tblCellMar>
            <w:top w:w="50" w:type="dxa"/>
            <w:left w:w="108" w:type="dxa"/>
            <w:bottom w:w="0" w:type="dxa"/>
            <w:right w:w="58" w:type="dxa"/>
          </w:tblCellMar>
        </w:tblPrEx>
        <w:trPr>
          <w:trHeight w:val="634" w:hRule="atLeast"/>
        </w:trPr>
        <w:tc>
          <w:tcPr>
            <w:tcW w:w="994" w:type="dxa"/>
            <w:tcBorders>
              <w:top w:val="single" w:color="000000" w:sz="4" w:space="0"/>
              <w:left w:val="single" w:color="000000" w:sz="4" w:space="0"/>
              <w:bottom w:val="single" w:color="000000" w:sz="4" w:space="0"/>
              <w:right w:val="single" w:color="000000" w:sz="4" w:space="0"/>
            </w:tcBorders>
          </w:tcPr>
          <w:p w14:paraId="11D88328">
            <w:pPr>
              <w:spacing w:after="0" w:line="259" w:lineRule="auto"/>
              <w:ind w:left="0" w:firstLine="0"/>
              <w:jc w:val="left"/>
            </w:pPr>
            <w:r>
              <w:t xml:space="preserve">29. </w:t>
            </w:r>
          </w:p>
        </w:tc>
        <w:tc>
          <w:tcPr>
            <w:tcW w:w="4962" w:type="dxa"/>
            <w:tcBorders>
              <w:top w:val="single" w:color="000000" w:sz="4" w:space="0"/>
              <w:left w:val="single" w:color="000000" w:sz="4" w:space="0"/>
              <w:bottom w:val="single" w:color="000000" w:sz="4" w:space="0"/>
              <w:right w:val="single" w:color="000000" w:sz="4" w:space="0"/>
            </w:tcBorders>
          </w:tcPr>
          <w:p w14:paraId="3A2C5A9E">
            <w:pPr>
              <w:spacing w:after="0" w:line="259" w:lineRule="auto"/>
              <w:ind w:left="0" w:firstLine="0"/>
            </w:pPr>
            <w:r>
              <w:t xml:space="preserve">Fee for the sale of a legal entity in bankruptcy, when the company continues to operate as a joint-stock company </w:t>
            </w:r>
          </w:p>
        </w:tc>
        <w:tc>
          <w:tcPr>
            <w:tcW w:w="3401" w:type="dxa"/>
            <w:tcBorders>
              <w:top w:val="single" w:color="000000" w:sz="4" w:space="0"/>
              <w:left w:val="single" w:color="000000" w:sz="4" w:space="0"/>
              <w:bottom w:val="single" w:color="000000" w:sz="4" w:space="0"/>
              <w:right w:val="single" w:color="000000" w:sz="4" w:space="0"/>
            </w:tcBorders>
          </w:tcPr>
          <w:p w14:paraId="529D3C02">
            <w:pPr>
              <w:spacing w:after="0" w:line="259" w:lineRule="auto"/>
              <w:ind w:left="0" w:firstLine="0"/>
              <w:jc w:val="left"/>
            </w:pPr>
            <w:r>
              <w:t xml:space="preserve">Up to RSD 400,000 </w:t>
            </w:r>
          </w:p>
        </w:tc>
      </w:tr>
      <w:tr w14:paraId="24F89553">
        <w:tblPrEx>
          <w:tblCellMar>
            <w:top w:w="50" w:type="dxa"/>
            <w:left w:w="108" w:type="dxa"/>
            <w:bottom w:w="0" w:type="dxa"/>
            <w:right w:w="58" w:type="dxa"/>
          </w:tblCellMar>
        </w:tblPrEx>
        <w:trPr>
          <w:trHeight w:val="756" w:hRule="atLeast"/>
        </w:trPr>
        <w:tc>
          <w:tcPr>
            <w:tcW w:w="994" w:type="dxa"/>
            <w:tcBorders>
              <w:top w:val="single" w:color="000000" w:sz="4" w:space="0"/>
              <w:left w:val="single" w:color="000000" w:sz="4" w:space="0"/>
              <w:bottom w:val="single" w:color="000000" w:sz="4" w:space="0"/>
              <w:right w:val="single" w:color="000000" w:sz="4" w:space="0"/>
            </w:tcBorders>
          </w:tcPr>
          <w:p w14:paraId="1C38D4BA">
            <w:pPr>
              <w:spacing w:after="0" w:line="259" w:lineRule="auto"/>
              <w:ind w:left="0" w:firstLine="0"/>
              <w:jc w:val="left"/>
            </w:pPr>
            <w:r>
              <w:t xml:space="preserve">30. </w:t>
            </w:r>
          </w:p>
        </w:tc>
        <w:tc>
          <w:tcPr>
            <w:tcW w:w="4962" w:type="dxa"/>
            <w:tcBorders>
              <w:top w:val="single" w:color="000000" w:sz="4" w:space="0"/>
              <w:left w:val="single" w:color="000000" w:sz="4" w:space="0"/>
              <w:bottom w:val="single" w:color="000000" w:sz="4" w:space="0"/>
              <w:right w:val="single" w:color="000000" w:sz="4" w:space="0"/>
            </w:tcBorders>
          </w:tcPr>
          <w:p w14:paraId="4B459972">
            <w:pPr>
              <w:spacing w:after="0" w:line="259" w:lineRule="auto"/>
              <w:ind w:left="0" w:firstLine="0"/>
              <w:jc w:val="left"/>
            </w:pPr>
            <w:r>
              <w:t>Listing of securities on the market, preparation of a prospectus</w:t>
            </w:r>
          </w:p>
        </w:tc>
        <w:tc>
          <w:tcPr>
            <w:tcW w:w="3401" w:type="dxa"/>
            <w:tcBorders>
              <w:top w:val="single" w:color="000000" w:sz="4" w:space="0"/>
              <w:left w:val="single" w:color="000000" w:sz="4" w:space="0"/>
              <w:bottom w:val="single" w:color="000000" w:sz="4" w:space="0"/>
              <w:right w:val="single" w:color="000000" w:sz="4" w:space="0"/>
            </w:tcBorders>
          </w:tcPr>
          <w:p w14:paraId="481C74E5">
            <w:pPr>
              <w:spacing w:after="98" w:line="259" w:lineRule="auto"/>
              <w:ind w:left="0" w:firstLine="0"/>
              <w:jc w:val="left"/>
            </w:pPr>
            <w:r>
              <w:t xml:space="preserve">Up to RSD 5,000,000 </w:t>
            </w:r>
          </w:p>
          <w:p w14:paraId="06BD3DCD">
            <w:pPr>
              <w:spacing w:after="0" w:line="259" w:lineRule="auto"/>
              <w:ind w:left="0" w:firstLine="0"/>
              <w:jc w:val="left"/>
            </w:pPr>
            <w:r>
              <w:rPr>
                <w:b/>
              </w:rPr>
              <w:t xml:space="preserve"> </w:t>
            </w:r>
          </w:p>
        </w:tc>
      </w:tr>
      <w:tr w14:paraId="543DA2AC">
        <w:tblPrEx>
          <w:tblCellMar>
            <w:top w:w="50" w:type="dxa"/>
            <w:left w:w="108" w:type="dxa"/>
            <w:bottom w:w="0" w:type="dxa"/>
            <w:right w:w="58" w:type="dxa"/>
          </w:tblCellMar>
        </w:tblPrEx>
        <w:trPr>
          <w:trHeight w:val="756" w:hRule="atLeast"/>
        </w:trPr>
        <w:tc>
          <w:tcPr>
            <w:tcW w:w="994" w:type="dxa"/>
            <w:tcBorders>
              <w:top w:val="single" w:color="000000" w:sz="4" w:space="0"/>
              <w:left w:val="single" w:color="000000" w:sz="4" w:space="0"/>
              <w:bottom w:val="single" w:color="000000" w:sz="4" w:space="0"/>
              <w:right w:val="single" w:color="000000" w:sz="4" w:space="0"/>
            </w:tcBorders>
          </w:tcPr>
          <w:p w14:paraId="6F855F4D">
            <w:pPr>
              <w:spacing w:after="0" w:line="259" w:lineRule="auto"/>
              <w:ind w:left="0" w:firstLine="0"/>
              <w:jc w:val="left"/>
            </w:pPr>
            <w:r>
              <w:t xml:space="preserve">31. </w:t>
            </w:r>
          </w:p>
        </w:tc>
        <w:tc>
          <w:tcPr>
            <w:tcW w:w="4962" w:type="dxa"/>
            <w:tcBorders>
              <w:top w:val="single" w:color="000000" w:sz="4" w:space="0"/>
              <w:left w:val="single" w:color="000000" w:sz="4" w:space="0"/>
              <w:bottom w:val="single" w:color="000000" w:sz="4" w:space="0"/>
              <w:right w:val="single" w:color="000000" w:sz="4" w:space="0"/>
            </w:tcBorders>
            <w:vAlign w:val="center"/>
          </w:tcPr>
          <w:p w14:paraId="6AA5F81E">
            <w:pPr>
              <w:spacing w:after="0" w:line="259" w:lineRule="auto"/>
              <w:ind w:left="0" w:firstLine="0"/>
            </w:pPr>
            <w:r>
              <w:t>Annual update of issuer information on the Belgrade Stock Exchange</w:t>
            </w:r>
          </w:p>
        </w:tc>
        <w:tc>
          <w:tcPr>
            <w:tcW w:w="3401" w:type="dxa"/>
            <w:tcBorders>
              <w:top w:val="single" w:color="000000" w:sz="4" w:space="0"/>
              <w:left w:val="single" w:color="000000" w:sz="4" w:space="0"/>
              <w:bottom w:val="single" w:color="000000" w:sz="4" w:space="0"/>
              <w:right w:val="single" w:color="000000" w:sz="4" w:space="0"/>
            </w:tcBorders>
          </w:tcPr>
          <w:p w14:paraId="7C2C8D82">
            <w:pPr>
              <w:spacing w:after="0" w:line="259" w:lineRule="auto"/>
              <w:ind w:left="0" w:firstLine="0"/>
              <w:jc w:val="left"/>
            </w:pPr>
            <w:r>
              <w:t xml:space="preserve">Up to RSD 250,000 </w:t>
            </w:r>
          </w:p>
        </w:tc>
      </w:tr>
      <w:tr w14:paraId="425684C1">
        <w:tblPrEx>
          <w:tblCellMar>
            <w:top w:w="50" w:type="dxa"/>
            <w:left w:w="108" w:type="dxa"/>
            <w:bottom w:w="0" w:type="dxa"/>
            <w:right w:w="58" w:type="dxa"/>
          </w:tblCellMar>
        </w:tblPrEx>
        <w:trPr>
          <w:trHeight w:val="886" w:hRule="atLeast"/>
        </w:trPr>
        <w:tc>
          <w:tcPr>
            <w:tcW w:w="994" w:type="dxa"/>
            <w:tcBorders>
              <w:top w:val="single" w:color="000000" w:sz="4" w:space="0"/>
              <w:left w:val="single" w:color="000000" w:sz="4" w:space="0"/>
              <w:bottom w:val="single" w:color="000000" w:sz="4" w:space="0"/>
              <w:right w:val="single" w:color="000000" w:sz="4" w:space="0"/>
            </w:tcBorders>
          </w:tcPr>
          <w:p w14:paraId="5B96706E">
            <w:pPr>
              <w:spacing w:after="0" w:line="259" w:lineRule="auto"/>
              <w:ind w:left="0" w:firstLine="0"/>
              <w:jc w:val="left"/>
            </w:pPr>
            <w:r>
              <w:t xml:space="preserve">32. </w:t>
            </w:r>
          </w:p>
        </w:tc>
        <w:tc>
          <w:tcPr>
            <w:tcW w:w="4962" w:type="dxa"/>
            <w:tcBorders>
              <w:top w:val="single" w:color="000000" w:sz="4" w:space="0"/>
              <w:left w:val="single" w:color="000000" w:sz="4" w:space="0"/>
              <w:bottom w:val="single" w:color="000000" w:sz="4" w:space="0"/>
              <w:right w:val="single" w:color="000000" w:sz="4" w:space="0"/>
            </w:tcBorders>
          </w:tcPr>
          <w:p w14:paraId="356424E5">
            <w:pPr>
              <w:spacing w:after="0" w:line="259" w:lineRule="auto"/>
              <w:ind w:left="0" w:right="52" w:firstLine="0"/>
            </w:pPr>
            <w:r>
              <w:t xml:space="preserve">Completion and submission of forms to relevant institutions (notification of ownership of voting shares, privileged information, etc.) </w:t>
            </w:r>
          </w:p>
        </w:tc>
        <w:tc>
          <w:tcPr>
            <w:tcW w:w="3401" w:type="dxa"/>
            <w:tcBorders>
              <w:top w:val="single" w:color="000000" w:sz="4" w:space="0"/>
              <w:left w:val="single" w:color="000000" w:sz="4" w:space="0"/>
              <w:bottom w:val="single" w:color="000000" w:sz="4" w:space="0"/>
              <w:right w:val="single" w:color="000000" w:sz="4" w:space="0"/>
            </w:tcBorders>
          </w:tcPr>
          <w:p w14:paraId="5DE84579">
            <w:pPr>
              <w:spacing w:after="98" w:line="259" w:lineRule="auto"/>
              <w:ind w:left="0" w:firstLine="0"/>
              <w:jc w:val="left"/>
            </w:pPr>
            <w:r>
              <w:t xml:space="preserve"> </w:t>
            </w:r>
          </w:p>
          <w:p w14:paraId="32BE1C75">
            <w:pPr>
              <w:spacing w:after="0" w:line="259" w:lineRule="auto"/>
              <w:ind w:left="0" w:firstLine="0"/>
              <w:jc w:val="left"/>
            </w:pPr>
            <w:r>
              <w:t xml:space="preserve">Up to RSD 50,000 </w:t>
            </w:r>
          </w:p>
        </w:tc>
      </w:tr>
      <w:tr w14:paraId="02D83D50">
        <w:tblPrEx>
          <w:tblCellMar>
            <w:top w:w="50" w:type="dxa"/>
            <w:left w:w="108" w:type="dxa"/>
            <w:bottom w:w="0" w:type="dxa"/>
            <w:right w:w="58" w:type="dxa"/>
          </w:tblCellMar>
        </w:tblPrEx>
        <w:trPr>
          <w:trHeight w:val="636" w:hRule="atLeast"/>
        </w:trPr>
        <w:tc>
          <w:tcPr>
            <w:tcW w:w="994" w:type="dxa"/>
            <w:tcBorders>
              <w:top w:val="single" w:color="000000" w:sz="4" w:space="0"/>
              <w:left w:val="single" w:color="000000" w:sz="4" w:space="0"/>
              <w:bottom w:val="single" w:color="000000" w:sz="4" w:space="0"/>
              <w:right w:val="single" w:color="000000" w:sz="4" w:space="0"/>
            </w:tcBorders>
          </w:tcPr>
          <w:p w14:paraId="0C2FA833">
            <w:pPr>
              <w:spacing w:after="0" w:line="259" w:lineRule="auto"/>
              <w:ind w:left="0" w:firstLine="0"/>
              <w:jc w:val="left"/>
            </w:pPr>
            <w:r>
              <w:t xml:space="preserve">33. </w:t>
            </w:r>
          </w:p>
        </w:tc>
        <w:tc>
          <w:tcPr>
            <w:tcW w:w="4962" w:type="dxa"/>
            <w:tcBorders>
              <w:top w:val="single" w:color="000000" w:sz="4" w:space="0"/>
              <w:left w:val="single" w:color="000000" w:sz="4" w:space="0"/>
              <w:bottom w:val="single" w:color="000000" w:sz="4" w:space="0"/>
              <w:right w:val="single" w:color="000000" w:sz="4" w:space="0"/>
            </w:tcBorders>
          </w:tcPr>
          <w:p w14:paraId="1B5455F7">
            <w:pPr>
              <w:spacing w:after="0" w:line="259" w:lineRule="auto"/>
              <w:ind w:left="0" w:firstLine="0"/>
              <w:jc w:val="left"/>
            </w:pPr>
            <w:r>
              <w:t xml:space="preserve">Notifying relevant institutions about significant events, per notification  </w:t>
            </w:r>
          </w:p>
        </w:tc>
        <w:tc>
          <w:tcPr>
            <w:tcW w:w="3401" w:type="dxa"/>
            <w:tcBorders>
              <w:top w:val="single" w:color="000000" w:sz="4" w:space="0"/>
              <w:left w:val="single" w:color="000000" w:sz="4" w:space="0"/>
              <w:bottom w:val="single" w:color="000000" w:sz="4" w:space="0"/>
              <w:right w:val="single" w:color="000000" w:sz="4" w:space="0"/>
            </w:tcBorders>
          </w:tcPr>
          <w:p w14:paraId="0D72A95E">
            <w:pPr>
              <w:spacing w:after="0" w:line="259" w:lineRule="auto"/>
              <w:ind w:left="0" w:firstLine="0"/>
              <w:jc w:val="left"/>
            </w:pPr>
            <w:r>
              <w:t xml:space="preserve">Up to RSD 50,000 </w:t>
            </w:r>
          </w:p>
        </w:tc>
      </w:tr>
      <w:tr w14:paraId="05CB5AB2">
        <w:tblPrEx>
          <w:tblCellMar>
            <w:top w:w="50" w:type="dxa"/>
            <w:left w:w="108" w:type="dxa"/>
            <w:bottom w:w="0" w:type="dxa"/>
            <w:right w:w="58" w:type="dxa"/>
          </w:tblCellMar>
        </w:tblPrEx>
        <w:trPr>
          <w:trHeight w:val="1393" w:hRule="atLeast"/>
        </w:trPr>
        <w:tc>
          <w:tcPr>
            <w:tcW w:w="994" w:type="dxa"/>
            <w:tcBorders>
              <w:top w:val="single" w:color="000000" w:sz="4" w:space="0"/>
              <w:left w:val="single" w:color="000000" w:sz="4" w:space="0"/>
              <w:bottom w:val="single" w:color="000000" w:sz="4" w:space="0"/>
              <w:right w:val="single" w:color="000000" w:sz="4" w:space="0"/>
            </w:tcBorders>
          </w:tcPr>
          <w:p w14:paraId="3CB4E873">
            <w:pPr>
              <w:spacing w:after="0" w:line="259" w:lineRule="auto"/>
              <w:ind w:left="0" w:firstLine="0"/>
              <w:jc w:val="left"/>
            </w:pPr>
            <w:r>
              <w:t xml:space="preserve">34. </w:t>
            </w:r>
          </w:p>
        </w:tc>
        <w:tc>
          <w:tcPr>
            <w:tcW w:w="4962" w:type="dxa"/>
            <w:tcBorders>
              <w:top w:val="single" w:color="000000" w:sz="4" w:space="0"/>
              <w:left w:val="single" w:color="000000" w:sz="4" w:space="0"/>
              <w:bottom w:val="single" w:color="000000" w:sz="4" w:space="0"/>
              <w:right w:val="single" w:color="000000" w:sz="4" w:space="0"/>
            </w:tcBorders>
          </w:tcPr>
          <w:p w14:paraId="03465B13">
            <w:pPr>
              <w:spacing w:after="0" w:line="259" w:lineRule="auto"/>
              <w:ind w:left="0" w:right="52" w:firstLine="0"/>
            </w:pPr>
            <w:r>
              <w:t>Submission of other applications to the Securities Commission, the Central Securities Registry, Depository and Clearing House, the Equity Fund, the Privatisation Agency, the Commission for the Protection of Competition and other competent authorities and institutions</w:t>
            </w:r>
          </w:p>
        </w:tc>
        <w:tc>
          <w:tcPr>
            <w:tcW w:w="3401" w:type="dxa"/>
            <w:tcBorders>
              <w:top w:val="single" w:color="000000" w:sz="4" w:space="0"/>
              <w:left w:val="single" w:color="000000" w:sz="4" w:space="0"/>
              <w:bottom w:val="single" w:color="000000" w:sz="4" w:space="0"/>
              <w:right w:val="single" w:color="000000" w:sz="4" w:space="0"/>
            </w:tcBorders>
          </w:tcPr>
          <w:p w14:paraId="3D20A379">
            <w:pPr>
              <w:spacing w:after="98" w:line="259" w:lineRule="auto"/>
              <w:ind w:left="0" w:firstLine="0"/>
              <w:jc w:val="left"/>
            </w:pPr>
            <w:r>
              <w:t xml:space="preserve"> </w:t>
            </w:r>
          </w:p>
          <w:p w14:paraId="282C1BF2">
            <w:pPr>
              <w:spacing w:after="98" w:line="259" w:lineRule="auto"/>
              <w:ind w:left="0" w:firstLine="0"/>
              <w:jc w:val="left"/>
            </w:pPr>
            <w:r>
              <w:t xml:space="preserve"> </w:t>
            </w:r>
          </w:p>
          <w:p w14:paraId="3F38EC3B">
            <w:pPr>
              <w:spacing w:after="0" w:line="259" w:lineRule="auto"/>
              <w:ind w:left="0" w:firstLine="0"/>
              <w:jc w:val="left"/>
            </w:pPr>
            <w:r>
              <w:t xml:space="preserve">Up to RSD 3,000,000 </w:t>
            </w:r>
          </w:p>
        </w:tc>
      </w:tr>
      <w:tr w14:paraId="56BD6DC6">
        <w:tblPrEx>
          <w:tblCellMar>
            <w:top w:w="50" w:type="dxa"/>
            <w:left w:w="108" w:type="dxa"/>
            <w:bottom w:w="0" w:type="dxa"/>
            <w:right w:w="58" w:type="dxa"/>
          </w:tblCellMar>
        </w:tblPrEx>
        <w:trPr>
          <w:trHeight w:val="1644" w:hRule="atLeast"/>
        </w:trPr>
        <w:tc>
          <w:tcPr>
            <w:tcW w:w="994" w:type="dxa"/>
            <w:tcBorders>
              <w:top w:val="single" w:color="000000" w:sz="4" w:space="0"/>
              <w:left w:val="single" w:color="000000" w:sz="4" w:space="0"/>
              <w:bottom w:val="single" w:color="000000" w:sz="4" w:space="0"/>
              <w:right w:val="single" w:color="000000" w:sz="4" w:space="0"/>
            </w:tcBorders>
          </w:tcPr>
          <w:p w14:paraId="6563082C">
            <w:pPr>
              <w:spacing w:after="0" w:line="259" w:lineRule="auto"/>
              <w:ind w:left="0" w:firstLine="0"/>
              <w:jc w:val="left"/>
            </w:pPr>
            <w:r>
              <w:t xml:space="preserve">35. </w:t>
            </w:r>
          </w:p>
        </w:tc>
        <w:tc>
          <w:tcPr>
            <w:tcW w:w="4962" w:type="dxa"/>
            <w:tcBorders>
              <w:top w:val="single" w:color="000000" w:sz="4" w:space="0"/>
              <w:left w:val="single" w:color="000000" w:sz="4" w:space="0"/>
              <w:bottom w:val="single" w:color="000000" w:sz="4" w:space="0"/>
              <w:right w:val="single" w:color="000000" w:sz="4" w:space="0"/>
            </w:tcBorders>
          </w:tcPr>
          <w:p w14:paraId="233D71F4">
            <w:pPr>
              <w:spacing w:after="0" w:line="259" w:lineRule="auto"/>
              <w:ind w:left="0" w:right="50" w:firstLine="0"/>
            </w:pPr>
            <w:r>
              <w:t>Drafting shareholder meeting decisions (homogenisation, merger, acquisition, change of legal form, preparation of materials for shareholders’ meetings, shareholders’ meeting invitations, proxy, absentee voting form, decision proposals, meeting reports, etc.)</w:t>
            </w:r>
          </w:p>
        </w:tc>
        <w:tc>
          <w:tcPr>
            <w:tcW w:w="3401" w:type="dxa"/>
            <w:tcBorders>
              <w:top w:val="single" w:color="000000" w:sz="4" w:space="0"/>
              <w:left w:val="single" w:color="000000" w:sz="4" w:space="0"/>
              <w:bottom w:val="single" w:color="000000" w:sz="4" w:space="0"/>
              <w:right w:val="single" w:color="000000" w:sz="4" w:space="0"/>
            </w:tcBorders>
          </w:tcPr>
          <w:p w14:paraId="07495BAF">
            <w:pPr>
              <w:spacing w:after="98" w:line="259" w:lineRule="auto"/>
              <w:ind w:left="0" w:firstLine="0"/>
              <w:jc w:val="left"/>
            </w:pPr>
            <w:r>
              <w:t xml:space="preserve"> </w:t>
            </w:r>
          </w:p>
          <w:p w14:paraId="244F0B56">
            <w:pPr>
              <w:spacing w:after="98" w:line="259" w:lineRule="auto"/>
              <w:ind w:left="0" w:firstLine="0"/>
              <w:jc w:val="left"/>
            </w:pPr>
            <w:r>
              <w:t xml:space="preserve"> </w:t>
            </w:r>
          </w:p>
          <w:p w14:paraId="0772B604">
            <w:pPr>
              <w:spacing w:after="0" w:line="259" w:lineRule="auto"/>
              <w:ind w:left="0" w:firstLine="0"/>
              <w:jc w:val="left"/>
            </w:pPr>
            <w:r>
              <w:t xml:space="preserve">Up to RSD 1,000,000 </w:t>
            </w:r>
          </w:p>
        </w:tc>
      </w:tr>
      <w:tr w14:paraId="2030A9CA">
        <w:tblPrEx>
          <w:tblCellMar>
            <w:top w:w="50" w:type="dxa"/>
            <w:left w:w="108" w:type="dxa"/>
            <w:bottom w:w="0" w:type="dxa"/>
            <w:right w:w="58" w:type="dxa"/>
          </w:tblCellMar>
        </w:tblPrEx>
        <w:trPr>
          <w:trHeight w:val="1140" w:hRule="atLeast"/>
        </w:trPr>
        <w:tc>
          <w:tcPr>
            <w:tcW w:w="994" w:type="dxa"/>
            <w:tcBorders>
              <w:top w:val="single" w:color="000000" w:sz="4" w:space="0"/>
              <w:left w:val="single" w:color="000000" w:sz="4" w:space="0"/>
              <w:bottom w:val="single" w:color="000000" w:sz="4" w:space="0"/>
              <w:right w:val="single" w:color="000000" w:sz="4" w:space="0"/>
            </w:tcBorders>
          </w:tcPr>
          <w:p w14:paraId="3C293938">
            <w:pPr>
              <w:spacing w:after="0" w:line="259" w:lineRule="auto"/>
              <w:ind w:left="0" w:firstLine="0"/>
              <w:jc w:val="left"/>
            </w:pPr>
            <w:r>
              <w:t xml:space="preserve">36. </w:t>
            </w:r>
          </w:p>
        </w:tc>
        <w:tc>
          <w:tcPr>
            <w:tcW w:w="4962" w:type="dxa"/>
            <w:tcBorders>
              <w:top w:val="single" w:color="000000" w:sz="4" w:space="0"/>
              <w:left w:val="single" w:color="000000" w:sz="4" w:space="0"/>
              <w:bottom w:val="single" w:color="000000" w:sz="4" w:space="0"/>
              <w:right w:val="single" w:color="000000" w:sz="4" w:space="0"/>
            </w:tcBorders>
          </w:tcPr>
          <w:p w14:paraId="1484EF97">
            <w:pPr>
              <w:spacing w:after="0" w:line="259" w:lineRule="auto"/>
              <w:ind w:left="0" w:right="46" w:firstLine="0"/>
            </w:pPr>
            <w:r>
              <w:t xml:space="preserve">Consulting services related to capital structure, business analysis, restructuring, change of legal form, change of status, compulsory buyout, price difference payment, dissent </w:t>
            </w:r>
          </w:p>
        </w:tc>
        <w:tc>
          <w:tcPr>
            <w:tcW w:w="3401" w:type="dxa"/>
            <w:tcBorders>
              <w:top w:val="single" w:color="000000" w:sz="4" w:space="0"/>
              <w:left w:val="single" w:color="000000" w:sz="4" w:space="0"/>
              <w:bottom w:val="single" w:color="000000" w:sz="4" w:space="0"/>
              <w:right w:val="single" w:color="000000" w:sz="4" w:space="0"/>
            </w:tcBorders>
          </w:tcPr>
          <w:p w14:paraId="4AE829F4">
            <w:pPr>
              <w:spacing w:after="100" w:line="259" w:lineRule="auto"/>
              <w:ind w:left="0" w:firstLine="0"/>
              <w:jc w:val="left"/>
            </w:pPr>
            <w:r>
              <w:t xml:space="preserve"> </w:t>
            </w:r>
          </w:p>
          <w:p w14:paraId="479E5506">
            <w:pPr>
              <w:spacing w:after="0" w:line="259" w:lineRule="auto"/>
              <w:ind w:left="0" w:firstLine="0"/>
              <w:jc w:val="left"/>
            </w:pPr>
            <w:r>
              <w:t xml:space="preserve">Up to RSD 20,000,000  </w:t>
            </w:r>
          </w:p>
        </w:tc>
      </w:tr>
      <w:tr w14:paraId="1B7334F4">
        <w:tblPrEx>
          <w:tblCellMar>
            <w:top w:w="50" w:type="dxa"/>
            <w:left w:w="108" w:type="dxa"/>
            <w:bottom w:w="0" w:type="dxa"/>
            <w:right w:w="58" w:type="dxa"/>
          </w:tblCellMar>
        </w:tblPrEx>
        <w:trPr>
          <w:trHeight w:val="636" w:hRule="atLeast"/>
        </w:trPr>
        <w:tc>
          <w:tcPr>
            <w:tcW w:w="994" w:type="dxa"/>
            <w:tcBorders>
              <w:top w:val="single" w:color="000000" w:sz="4" w:space="0"/>
              <w:left w:val="single" w:color="000000" w:sz="4" w:space="0"/>
              <w:bottom w:val="single" w:color="000000" w:sz="4" w:space="0"/>
              <w:right w:val="single" w:color="000000" w:sz="4" w:space="0"/>
            </w:tcBorders>
          </w:tcPr>
          <w:p w14:paraId="05EE5F5C">
            <w:pPr>
              <w:spacing w:after="0" w:line="259" w:lineRule="auto"/>
              <w:ind w:left="0" w:firstLine="0"/>
              <w:jc w:val="left"/>
            </w:pPr>
            <w:r>
              <w:t xml:space="preserve">37. </w:t>
            </w:r>
          </w:p>
        </w:tc>
        <w:tc>
          <w:tcPr>
            <w:tcW w:w="4962" w:type="dxa"/>
            <w:tcBorders>
              <w:top w:val="single" w:color="000000" w:sz="4" w:space="0"/>
              <w:left w:val="single" w:color="000000" w:sz="4" w:space="0"/>
              <w:bottom w:val="single" w:color="000000" w:sz="4" w:space="0"/>
              <w:right w:val="single" w:color="000000" w:sz="4" w:space="0"/>
            </w:tcBorders>
          </w:tcPr>
          <w:p w14:paraId="24CD1002">
            <w:pPr>
              <w:spacing w:after="0" w:line="259" w:lineRule="auto"/>
              <w:ind w:left="0" w:firstLine="0"/>
            </w:pPr>
            <w:r>
              <w:t xml:space="preserve">Preparation of documents for public offering of financial instruments, with or without the obligation to publish a prospectus </w:t>
            </w:r>
          </w:p>
        </w:tc>
        <w:tc>
          <w:tcPr>
            <w:tcW w:w="3401" w:type="dxa"/>
            <w:tcBorders>
              <w:top w:val="single" w:color="000000" w:sz="4" w:space="0"/>
              <w:left w:val="single" w:color="000000" w:sz="4" w:space="0"/>
              <w:bottom w:val="single" w:color="000000" w:sz="4" w:space="0"/>
              <w:right w:val="single" w:color="000000" w:sz="4" w:space="0"/>
            </w:tcBorders>
          </w:tcPr>
          <w:p w14:paraId="69EBF06B">
            <w:pPr>
              <w:spacing w:after="0" w:line="259" w:lineRule="auto"/>
              <w:ind w:left="0" w:firstLine="0"/>
              <w:jc w:val="left"/>
            </w:pPr>
            <w:r>
              <w:t xml:space="preserve">Up to RSD 5,000,000 </w:t>
            </w:r>
          </w:p>
        </w:tc>
      </w:tr>
      <w:tr w14:paraId="74E35FBD">
        <w:tblPrEx>
          <w:tblCellMar>
            <w:top w:w="50" w:type="dxa"/>
            <w:left w:w="108" w:type="dxa"/>
            <w:bottom w:w="0" w:type="dxa"/>
            <w:right w:w="58" w:type="dxa"/>
          </w:tblCellMar>
        </w:tblPrEx>
        <w:trPr>
          <w:trHeight w:val="886" w:hRule="atLeast"/>
        </w:trPr>
        <w:tc>
          <w:tcPr>
            <w:tcW w:w="994" w:type="dxa"/>
            <w:tcBorders>
              <w:top w:val="single" w:color="000000" w:sz="4" w:space="0"/>
              <w:left w:val="single" w:color="000000" w:sz="4" w:space="0"/>
              <w:bottom w:val="single" w:color="000000" w:sz="4" w:space="0"/>
              <w:right w:val="single" w:color="000000" w:sz="4" w:space="0"/>
            </w:tcBorders>
          </w:tcPr>
          <w:p w14:paraId="2DC346B0">
            <w:pPr>
              <w:spacing w:after="0" w:line="259" w:lineRule="auto"/>
              <w:ind w:left="0" w:firstLine="0"/>
              <w:jc w:val="left"/>
            </w:pPr>
            <w:r>
              <w:t xml:space="preserve">38. </w:t>
            </w:r>
          </w:p>
        </w:tc>
        <w:tc>
          <w:tcPr>
            <w:tcW w:w="4962" w:type="dxa"/>
            <w:tcBorders>
              <w:top w:val="single" w:color="000000" w:sz="4" w:space="0"/>
              <w:left w:val="single" w:color="000000" w:sz="4" w:space="0"/>
              <w:bottom w:val="single" w:color="000000" w:sz="4" w:space="0"/>
              <w:right w:val="single" w:color="000000" w:sz="4" w:space="0"/>
            </w:tcBorders>
          </w:tcPr>
          <w:p w14:paraId="377BA3CE">
            <w:pPr>
              <w:spacing w:after="0" w:line="259" w:lineRule="auto"/>
              <w:ind w:left="0" w:right="48" w:firstLine="0"/>
            </w:pPr>
            <w:r>
              <w:t xml:space="preserve">Conducting procedures for change of legal form, capital stock increase, capital stock reduction, mandatory offers, withdrawal of offers </w:t>
            </w:r>
          </w:p>
        </w:tc>
        <w:tc>
          <w:tcPr>
            <w:tcW w:w="3401" w:type="dxa"/>
            <w:tcBorders>
              <w:top w:val="single" w:color="000000" w:sz="4" w:space="0"/>
              <w:left w:val="single" w:color="000000" w:sz="4" w:space="0"/>
              <w:bottom w:val="single" w:color="000000" w:sz="4" w:space="0"/>
              <w:right w:val="single" w:color="000000" w:sz="4" w:space="0"/>
            </w:tcBorders>
          </w:tcPr>
          <w:p w14:paraId="1D47F5D2">
            <w:pPr>
              <w:spacing w:after="98" w:line="259" w:lineRule="auto"/>
              <w:ind w:left="0" w:firstLine="0"/>
              <w:jc w:val="left"/>
            </w:pPr>
            <w:r>
              <w:t xml:space="preserve"> </w:t>
            </w:r>
          </w:p>
          <w:p w14:paraId="6CAE46EA">
            <w:pPr>
              <w:spacing w:after="0" w:line="259" w:lineRule="auto"/>
              <w:ind w:left="0" w:firstLine="0"/>
              <w:jc w:val="left"/>
            </w:pPr>
            <w:r>
              <w:t xml:space="preserve">Up to RSD 2,000,000 </w:t>
            </w:r>
          </w:p>
        </w:tc>
      </w:tr>
      <w:tr w14:paraId="143FC4DE">
        <w:tblPrEx>
          <w:tblCellMar>
            <w:top w:w="50" w:type="dxa"/>
            <w:left w:w="108" w:type="dxa"/>
            <w:bottom w:w="0" w:type="dxa"/>
            <w:right w:w="58" w:type="dxa"/>
          </w:tblCellMar>
        </w:tblPrEx>
        <w:trPr>
          <w:trHeight w:val="1140" w:hRule="atLeast"/>
        </w:trPr>
        <w:tc>
          <w:tcPr>
            <w:tcW w:w="994" w:type="dxa"/>
            <w:tcBorders>
              <w:top w:val="single" w:color="000000" w:sz="4" w:space="0"/>
              <w:left w:val="single" w:color="000000" w:sz="4" w:space="0"/>
              <w:bottom w:val="single" w:color="000000" w:sz="4" w:space="0"/>
              <w:right w:val="single" w:color="000000" w:sz="4" w:space="0"/>
            </w:tcBorders>
          </w:tcPr>
          <w:p w14:paraId="51DCC2AE">
            <w:pPr>
              <w:spacing w:after="0" w:line="259" w:lineRule="auto"/>
              <w:ind w:left="0" w:firstLine="0"/>
              <w:jc w:val="left"/>
            </w:pPr>
            <w:r>
              <w:t xml:space="preserve">39. </w:t>
            </w:r>
          </w:p>
        </w:tc>
        <w:tc>
          <w:tcPr>
            <w:tcW w:w="4962" w:type="dxa"/>
            <w:tcBorders>
              <w:top w:val="single" w:color="000000" w:sz="4" w:space="0"/>
              <w:left w:val="single" w:color="000000" w:sz="4" w:space="0"/>
              <w:bottom w:val="single" w:color="000000" w:sz="4" w:space="0"/>
              <w:right w:val="single" w:color="000000" w:sz="4" w:space="0"/>
            </w:tcBorders>
          </w:tcPr>
          <w:p w14:paraId="1D257224">
            <w:pPr>
              <w:spacing w:after="0" w:line="259" w:lineRule="auto"/>
              <w:ind w:left="0" w:right="46" w:firstLine="0"/>
            </w:pPr>
            <w:r>
              <w:t xml:space="preserve">Submission of applications to the Central Securities Registry (CRHoV) for the delisting of debt securities after their maturity date, where obligations under those securities have been settled outside the Central Securities Registry system. </w:t>
            </w:r>
          </w:p>
        </w:tc>
        <w:tc>
          <w:tcPr>
            <w:tcW w:w="3401" w:type="dxa"/>
            <w:tcBorders>
              <w:top w:val="single" w:color="000000" w:sz="4" w:space="0"/>
              <w:left w:val="single" w:color="000000" w:sz="4" w:space="0"/>
              <w:bottom w:val="single" w:color="000000" w:sz="4" w:space="0"/>
              <w:right w:val="single" w:color="000000" w:sz="4" w:space="0"/>
            </w:tcBorders>
          </w:tcPr>
          <w:p w14:paraId="40989C41">
            <w:pPr>
              <w:spacing w:after="100" w:line="259" w:lineRule="auto"/>
              <w:ind w:left="0" w:firstLine="0"/>
              <w:jc w:val="left"/>
            </w:pPr>
            <w:r>
              <w:t xml:space="preserve"> </w:t>
            </w:r>
          </w:p>
          <w:p w14:paraId="39AF46E6">
            <w:pPr>
              <w:spacing w:after="0" w:line="259" w:lineRule="auto"/>
              <w:ind w:left="0" w:firstLine="0"/>
              <w:jc w:val="left"/>
            </w:pPr>
            <w:r>
              <w:t xml:space="preserve">Up to RSD 2,000,000 </w:t>
            </w:r>
          </w:p>
        </w:tc>
      </w:tr>
      <w:tr w14:paraId="49645CD5">
        <w:tblPrEx>
          <w:tblCellMar>
            <w:top w:w="50" w:type="dxa"/>
            <w:left w:w="108" w:type="dxa"/>
            <w:bottom w:w="0" w:type="dxa"/>
            <w:right w:w="58" w:type="dxa"/>
          </w:tblCellMar>
        </w:tblPrEx>
        <w:trPr>
          <w:trHeight w:val="384" w:hRule="atLeast"/>
        </w:trPr>
        <w:tc>
          <w:tcPr>
            <w:tcW w:w="994" w:type="dxa"/>
            <w:tcBorders>
              <w:top w:val="single" w:color="000000" w:sz="4" w:space="0"/>
              <w:left w:val="single" w:color="000000" w:sz="4" w:space="0"/>
              <w:bottom w:val="single" w:color="000000" w:sz="4" w:space="0"/>
              <w:right w:val="single" w:color="000000" w:sz="4" w:space="0"/>
            </w:tcBorders>
          </w:tcPr>
          <w:p w14:paraId="6D702DEC">
            <w:pPr>
              <w:spacing w:after="0" w:line="259" w:lineRule="auto"/>
              <w:ind w:left="0" w:firstLine="0"/>
              <w:jc w:val="left"/>
            </w:pPr>
            <w:r>
              <w:t xml:space="preserve">40. </w:t>
            </w:r>
          </w:p>
        </w:tc>
        <w:tc>
          <w:tcPr>
            <w:tcW w:w="4962" w:type="dxa"/>
            <w:tcBorders>
              <w:top w:val="single" w:color="000000" w:sz="4" w:space="0"/>
              <w:left w:val="single" w:color="000000" w:sz="4" w:space="0"/>
              <w:bottom w:val="single" w:color="000000" w:sz="4" w:space="0"/>
              <w:right w:val="single" w:color="000000" w:sz="4" w:space="0"/>
            </w:tcBorders>
          </w:tcPr>
          <w:p w14:paraId="039E9632">
            <w:pPr>
              <w:spacing w:after="0" w:line="259" w:lineRule="auto"/>
              <w:ind w:left="0" w:firstLine="0"/>
              <w:jc w:val="left"/>
            </w:pPr>
            <w:r>
              <w:t xml:space="preserve">Filing of applications to change the par value of shares </w:t>
            </w:r>
          </w:p>
        </w:tc>
        <w:tc>
          <w:tcPr>
            <w:tcW w:w="3401" w:type="dxa"/>
            <w:tcBorders>
              <w:top w:val="single" w:color="000000" w:sz="4" w:space="0"/>
              <w:left w:val="single" w:color="000000" w:sz="4" w:space="0"/>
              <w:bottom w:val="single" w:color="000000" w:sz="4" w:space="0"/>
              <w:right w:val="single" w:color="000000" w:sz="4" w:space="0"/>
            </w:tcBorders>
          </w:tcPr>
          <w:p w14:paraId="75F4BF86">
            <w:pPr>
              <w:spacing w:after="0" w:line="259" w:lineRule="auto"/>
              <w:ind w:left="0" w:firstLine="0"/>
              <w:jc w:val="left"/>
            </w:pPr>
            <w:r>
              <w:t xml:space="preserve">Up to RSD 500,000 </w:t>
            </w:r>
          </w:p>
        </w:tc>
      </w:tr>
      <w:tr w14:paraId="429F087B">
        <w:tblPrEx>
          <w:tblCellMar>
            <w:top w:w="50" w:type="dxa"/>
            <w:left w:w="108" w:type="dxa"/>
            <w:bottom w:w="0" w:type="dxa"/>
            <w:right w:w="58" w:type="dxa"/>
          </w:tblCellMar>
        </w:tblPrEx>
        <w:trPr>
          <w:trHeight w:val="382" w:hRule="atLeast"/>
        </w:trPr>
        <w:tc>
          <w:tcPr>
            <w:tcW w:w="994" w:type="dxa"/>
            <w:tcBorders>
              <w:top w:val="single" w:color="000000" w:sz="4" w:space="0"/>
              <w:left w:val="single" w:color="000000" w:sz="4" w:space="0"/>
              <w:bottom w:val="single" w:color="000000" w:sz="4" w:space="0"/>
              <w:right w:val="single" w:color="000000" w:sz="4" w:space="0"/>
            </w:tcBorders>
          </w:tcPr>
          <w:p w14:paraId="2A4A399D">
            <w:pPr>
              <w:spacing w:after="0" w:line="259" w:lineRule="auto"/>
              <w:ind w:left="0" w:firstLine="0"/>
              <w:jc w:val="left"/>
            </w:pPr>
            <w:r>
              <w:t xml:space="preserve">41. </w:t>
            </w:r>
          </w:p>
        </w:tc>
        <w:tc>
          <w:tcPr>
            <w:tcW w:w="4962" w:type="dxa"/>
            <w:tcBorders>
              <w:top w:val="single" w:color="000000" w:sz="4" w:space="0"/>
              <w:left w:val="single" w:color="000000" w:sz="4" w:space="0"/>
              <w:bottom w:val="single" w:color="000000" w:sz="4" w:space="0"/>
              <w:right w:val="single" w:color="000000" w:sz="4" w:space="0"/>
            </w:tcBorders>
          </w:tcPr>
          <w:p w14:paraId="7C90F487">
            <w:pPr>
              <w:spacing w:after="0" w:line="259" w:lineRule="auto"/>
              <w:ind w:left="0" w:firstLine="0"/>
              <w:jc w:val="left"/>
            </w:pPr>
            <w:r>
              <w:t>Registration of the right to acquire ownership stake</w:t>
            </w:r>
          </w:p>
        </w:tc>
        <w:tc>
          <w:tcPr>
            <w:tcW w:w="3401" w:type="dxa"/>
            <w:tcBorders>
              <w:top w:val="single" w:color="000000" w:sz="4" w:space="0"/>
              <w:left w:val="single" w:color="000000" w:sz="4" w:space="0"/>
              <w:bottom w:val="single" w:color="000000" w:sz="4" w:space="0"/>
              <w:right w:val="single" w:color="000000" w:sz="4" w:space="0"/>
            </w:tcBorders>
          </w:tcPr>
          <w:p w14:paraId="6001DD98">
            <w:pPr>
              <w:spacing w:after="0" w:line="259" w:lineRule="auto"/>
              <w:ind w:left="0" w:firstLine="0"/>
              <w:jc w:val="left"/>
            </w:pPr>
            <w:r>
              <w:t xml:space="preserve">Up to RSD 1,000,000 </w:t>
            </w:r>
          </w:p>
        </w:tc>
      </w:tr>
      <w:tr w14:paraId="28B2FDC2">
        <w:tblPrEx>
          <w:tblCellMar>
            <w:top w:w="50" w:type="dxa"/>
            <w:left w:w="108" w:type="dxa"/>
            <w:bottom w:w="0" w:type="dxa"/>
            <w:right w:w="58" w:type="dxa"/>
          </w:tblCellMar>
        </w:tblPrEx>
        <w:trPr>
          <w:trHeight w:val="382" w:hRule="atLeast"/>
        </w:trPr>
        <w:tc>
          <w:tcPr>
            <w:tcW w:w="994" w:type="dxa"/>
            <w:tcBorders>
              <w:top w:val="single" w:color="000000" w:sz="4" w:space="0"/>
              <w:left w:val="single" w:color="000000" w:sz="4" w:space="0"/>
              <w:bottom w:val="single" w:color="000000" w:sz="4" w:space="0"/>
              <w:right w:val="single" w:color="000000" w:sz="4" w:space="0"/>
            </w:tcBorders>
          </w:tcPr>
          <w:p w14:paraId="6A151E9D">
            <w:pPr>
              <w:spacing w:after="0" w:line="259" w:lineRule="auto"/>
              <w:ind w:left="0" w:firstLine="0"/>
              <w:jc w:val="left"/>
            </w:pPr>
            <w:r>
              <w:t xml:space="preserve">42. </w:t>
            </w:r>
          </w:p>
        </w:tc>
        <w:tc>
          <w:tcPr>
            <w:tcW w:w="4962" w:type="dxa"/>
            <w:tcBorders>
              <w:top w:val="single" w:color="000000" w:sz="4" w:space="0"/>
              <w:left w:val="single" w:color="000000" w:sz="4" w:space="0"/>
              <w:bottom w:val="single" w:color="000000" w:sz="4" w:space="0"/>
              <w:right w:val="single" w:color="000000" w:sz="4" w:space="0"/>
            </w:tcBorders>
          </w:tcPr>
          <w:p w14:paraId="47445543">
            <w:pPr>
              <w:spacing w:after="0" w:line="259" w:lineRule="auto"/>
              <w:ind w:left="0" w:firstLine="0"/>
              <w:jc w:val="left"/>
            </w:pPr>
            <w:r>
              <w:t>Deregistration of the right to acquire ownership stake</w:t>
            </w:r>
          </w:p>
        </w:tc>
        <w:tc>
          <w:tcPr>
            <w:tcW w:w="3401" w:type="dxa"/>
            <w:tcBorders>
              <w:top w:val="single" w:color="000000" w:sz="4" w:space="0"/>
              <w:left w:val="single" w:color="000000" w:sz="4" w:space="0"/>
              <w:bottom w:val="single" w:color="000000" w:sz="4" w:space="0"/>
              <w:right w:val="single" w:color="000000" w:sz="4" w:space="0"/>
            </w:tcBorders>
          </w:tcPr>
          <w:p w14:paraId="2387B838">
            <w:pPr>
              <w:spacing w:after="0" w:line="259" w:lineRule="auto"/>
              <w:ind w:left="0" w:firstLine="0"/>
              <w:jc w:val="left"/>
            </w:pPr>
            <w:r>
              <w:t xml:space="preserve">Up to RSD 1,000,000 </w:t>
            </w:r>
          </w:p>
        </w:tc>
      </w:tr>
      <w:tr w14:paraId="3D06F1A6">
        <w:tblPrEx>
          <w:tblCellMar>
            <w:top w:w="50" w:type="dxa"/>
            <w:left w:w="108" w:type="dxa"/>
            <w:bottom w:w="0" w:type="dxa"/>
            <w:right w:w="58" w:type="dxa"/>
          </w:tblCellMar>
        </w:tblPrEx>
        <w:trPr>
          <w:trHeight w:val="384" w:hRule="atLeast"/>
        </w:trPr>
        <w:tc>
          <w:tcPr>
            <w:tcW w:w="994" w:type="dxa"/>
            <w:tcBorders>
              <w:top w:val="single" w:color="000000" w:sz="4" w:space="0"/>
              <w:left w:val="single" w:color="000000" w:sz="4" w:space="0"/>
              <w:bottom w:val="single" w:color="000000" w:sz="4" w:space="0"/>
              <w:right w:val="single" w:color="000000" w:sz="4" w:space="0"/>
            </w:tcBorders>
          </w:tcPr>
          <w:p w14:paraId="75BDC4E7">
            <w:pPr>
              <w:spacing w:after="0" w:line="259" w:lineRule="auto"/>
              <w:ind w:left="0" w:firstLine="0"/>
              <w:jc w:val="left"/>
            </w:pPr>
            <w:r>
              <w:t xml:space="preserve">43. </w:t>
            </w:r>
          </w:p>
        </w:tc>
        <w:tc>
          <w:tcPr>
            <w:tcW w:w="4962" w:type="dxa"/>
            <w:tcBorders>
              <w:top w:val="single" w:color="000000" w:sz="4" w:space="0"/>
              <w:left w:val="single" w:color="000000" w:sz="4" w:space="0"/>
              <w:bottom w:val="single" w:color="000000" w:sz="4" w:space="0"/>
              <w:right w:val="single" w:color="000000" w:sz="4" w:space="0"/>
            </w:tcBorders>
          </w:tcPr>
          <w:p w14:paraId="0C37D26C">
            <w:pPr>
              <w:spacing w:after="0" w:line="259" w:lineRule="auto"/>
              <w:ind w:left="0" w:firstLine="0"/>
              <w:jc w:val="left"/>
            </w:pPr>
            <w:r>
              <w:t xml:space="preserve">Conducting a takeover bid </w:t>
            </w:r>
          </w:p>
        </w:tc>
        <w:tc>
          <w:tcPr>
            <w:tcW w:w="3401" w:type="dxa"/>
            <w:tcBorders>
              <w:top w:val="single" w:color="000000" w:sz="4" w:space="0"/>
              <w:left w:val="single" w:color="000000" w:sz="4" w:space="0"/>
              <w:bottom w:val="single" w:color="000000" w:sz="4" w:space="0"/>
              <w:right w:val="single" w:color="000000" w:sz="4" w:space="0"/>
            </w:tcBorders>
          </w:tcPr>
          <w:p w14:paraId="5490407E">
            <w:pPr>
              <w:spacing w:after="0" w:line="259" w:lineRule="auto"/>
              <w:ind w:left="0" w:firstLine="0"/>
              <w:jc w:val="left"/>
            </w:pPr>
            <w:r>
              <w:t xml:space="preserve">Up to RSD 2,000,000 </w:t>
            </w:r>
          </w:p>
        </w:tc>
      </w:tr>
    </w:tbl>
    <w:p w14:paraId="4E7138E8">
      <w:pPr>
        <w:spacing w:after="98" w:line="259" w:lineRule="auto"/>
        <w:ind w:left="0" w:firstLine="0"/>
        <w:jc w:val="left"/>
      </w:pPr>
      <w:r>
        <w:t xml:space="preserve"> </w:t>
      </w:r>
    </w:p>
    <w:p w14:paraId="68A100AF">
      <w:pPr>
        <w:pStyle w:val="4"/>
        <w:spacing w:after="101"/>
        <w:ind w:left="-5"/>
      </w:pPr>
      <w:r>
        <w:t xml:space="preserve">V  Preparation of Various Types of Analyses </w:t>
      </w:r>
    </w:p>
    <w:p w14:paraId="03A422B4">
      <w:pPr>
        <w:spacing w:after="0" w:line="259" w:lineRule="auto"/>
        <w:ind w:left="0" w:firstLine="0"/>
        <w:jc w:val="left"/>
      </w:pPr>
      <w:r>
        <w:rPr>
          <w:b/>
        </w:rPr>
        <w:t xml:space="preserve"> </w:t>
      </w:r>
    </w:p>
    <w:tbl>
      <w:tblPr>
        <w:tblStyle w:val="10"/>
        <w:tblW w:w="9354" w:type="dxa"/>
        <w:tblInd w:w="2" w:type="dxa"/>
        <w:tblLayout w:type="autofit"/>
        <w:tblCellMar>
          <w:top w:w="49" w:type="dxa"/>
          <w:left w:w="106" w:type="dxa"/>
          <w:bottom w:w="0" w:type="dxa"/>
          <w:right w:w="0" w:type="dxa"/>
        </w:tblCellMar>
      </w:tblPr>
      <w:tblGrid>
        <w:gridCol w:w="992"/>
        <w:gridCol w:w="4962"/>
        <w:gridCol w:w="3400"/>
      </w:tblGrid>
      <w:tr w14:paraId="77836D82">
        <w:tblPrEx>
          <w:tblCellMar>
            <w:top w:w="49" w:type="dxa"/>
            <w:left w:w="106" w:type="dxa"/>
            <w:bottom w:w="0" w:type="dxa"/>
            <w:right w:w="0" w:type="dxa"/>
          </w:tblCellMar>
        </w:tblPrEx>
        <w:trPr>
          <w:trHeight w:val="382" w:hRule="atLeast"/>
        </w:trPr>
        <w:tc>
          <w:tcPr>
            <w:tcW w:w="992" w:type="dxa"/>
            <w:tcBorders>
              <w:top w:val="single" w:color="000000" w:sz="4" w:space="0"/>
              <w:left w:val="single" w:color="000000" w:sz="4" w:space="0"/>
              <w:bottom w:val="single" w:color="000000" w:sz="4" w:space="0"/>
              <w:right w:val="single" w:color="000000" w:sz="4" w:space="0"/>
            </w:tcBorders>
            <w:shd w:val="clear" w:color="auto" w:fill="F2F2F2"/>
          </w:tcPr>
          <w:p w14:paraId="4AD400CC">
            <w:pPr>
              <w:spacing w:after="0" w:line="259" w:lineRule="auto"/>
              <w:ind w:left="0" w:firstLine="0"/>
              <w:jc w:val="left"/>
            </w:pPr>
            <w:r>
              <w:rPr>
                <w:b/>
              </w:rPr>
              <w:t>No.</w:t>
            </w:r>
          </w:p>
        </w:tc>
        <w:tc>
          <w:tcPr>
            <w:tcW w:w="4962" w:type="dxa"/>
            <w:tcBorders>
              <w:top w:val="single" w:color="000000" w:sz="4" w:space="0"/>
              <w:left w:val="single" w:color="000000" w:sz="4" w:space="0"/>
              <w:bottom w:val="single" w:color="000000" w:sz="4" w:space="0"/>
              <w:right w:val="single" w:color="000000" w:sz="4" w:space="0"/>
            </w:tcBorders>
            <w:shd w:val="clear" w:color="auto" w:fill="F2F2F2"/>
          </w:tcPr>
          <w:p w14:paraId="422F6ECC">
            <w:pPr>
              <w:spacing w:after="0" w:line="259" w:lineRule="auto"/>
              <w:ind w:left="2" w:firstLine="0"/>
              <w:jc w:val="left"/>
            </w:pPr>
            <w:r>
              <w:rPr>
                <w:b/>
              </w:rPr>
              <w:t>TYPE OF ANALYSIS</w:t>
            </w:r>
          </w:p>
        </w:tc>
        <w:tc>
          <w:tcPr>
            <w:tcW w:w="3400" w:type="dxa"/>
            <w:tcBorders>
              <w:top w:val="single" w:color="000000" w:sz="4" w:space="0"/>
              <w:left w:val="single" w:color="000000" w:sz="4" w:space="0"/>
              <w:bottom w:val="single" w:color="000000" w:sz="4" w:space="0"/>
              <w:right w:val="single" w:color="000000" w:sz="4" w:space="0"/>
            </w:tcBorders>
            <w:shd w:val="clear" w:color="auto" w:fill="F2F2F2"/>
          </w:tcPr>
          <w:p w14:paraId="30BA5609">
            <w:pPr>
              <w:spacing w:after="0" w:line="259" w:lineRule="auto"/>
              <w:ind w:left="0" w:right="102" w:firstLine="0"/>
              <w:jc w:val="center"/>
            </w:pPr>
            <w:r>
              <w:rPr>
                <w:b/>
              </w:rPr>
              <w:t>Fee</w:t>
            </w:r>
          </w:p>
        </w:tc>
      </w:tr>
      <w:tr w14:paraId="050A5CC8">
        <w:tblPrEx>
          <w:tblCellMar>
            <w:top w:w="49" w:type="dxa"/>
            <w:left w:w="106" w:type="dxa"/>
            <w:bottom w:w="0" w:type="dxa"/>
            <w:right w:w="0" w:type="dxa"/>
          </w:tblCellMar>
        </w:tblPrEx>
        <w:trPr>
          <w:trHeight w:val="383" w:hRule="atLeast"/>
        </w:trPr>
        <w:tc>
          <w:tcPr>
            <w:tcW w:w="992" w:type="dxa"/>
            <w:tcBorders>
              <w:top w:val="single" w:color="000000" w:sz="4" w:space="0"/>
              <w:left w:val="single" w:color="000000" w:sz="4" w:space="0"/>
              <w:bottom w:val="single" w:color="000000" w:sz="4" w:space="0"/>
              <w:right w:val="single" w:color="000000" w:sz="4" w:space="0"/>
            </w:tcBorders>
          </w:tcPr>
          <w:p w14:paraId="080D170E">
            <w:pPr>
              <w:spacing w:after="0" w:line="259" w:lineRule="auto"/>
              <w:ind w:left="0" w:firstLine="0"/>
              <w:jc w:val="left"/>
            </w:pPr>
            <w:r>
              <w:t xml:space="preserve">44. </w:t>
            </w:r>
          </w:p>
        </w:tc>
        <w:tc>
          <w:tcPr>
            <w:tcW w:w="4962" w:type="dxa"/>
            <w:tcBorders>
              <w:top w:val="single" w:color="000000" w:sz="4" w:space="0"/>
              <w:left w:val="single" w:color="000000" w:sz="4" w:space="0"/>
              <w:bottom w:val="single" w:color="000000" w:sz="4" w:space="0"/>
              <w:right w:val="single" w:color="000000" w:sz="4" w:space="0"/>
            </w:tcBorders>
          </w:tcPr>
          <w:p w14:paraId="793A2D41">
            <w:pPr>
              <w:spacing w:after="0" w:line="259" w:lineRule="auto"/>
              <w:ind w:left="2" w:firstLine="0"/>
              <w:jc w:val="left"/>
            </w:pPr>
            <w:r>
              <w:t xml:space="preserve">Preparation of analysis of a specific security on the Belgrade Stock Exchange </w:t>
            </w:r>
          </w:p>
        </w:tc>
        <w:tc>
          <w:tcPr>
            <w:tcW w:w="3400" w:type="dxa"/>
            <w:tcBorders>
              <w:top w:val="single" w:color="000000" w:sz="4" w:space="0"/>
              <w:left w:val="single" w:color="000000" w:sz="4" w:space="0"/>
              <w:bottom w:val="single" w:color="000000" w:sz="4" w:space="0"/>
              <w:right w:val="single" w:color="000000" w:sz="4" w:space="0"/>
            </w:tcBorders>
          </w:tcPr>
          <w:p w14:paraId="47E70728">
            <w:pPr>
              <w:spacing w:after="0" w:line="259" w:lineRule="auto"/>
              <w:ind w:left="2" w:firstLine="0"/>
              <w:jc w:val="left"/>
            </w:pPr>
            <w:r>
              <w:t>Up to RSD 400,000</w:t>
            </w:r>
            <w:r>
              <w:rPr>
                <w:b/>
              </w:rPr>
              <w:t xml:space="preserve"> </w:t>
            </w:r>
          </w:p>
        </w:tc>
      </w:tr>
      <w:tr w14:paraId="27E37FA8">
        <w:tblPrEx>
          <w:tblCellMar>
            <w:top w:w="49" w:type="dxa"/>
            <w:left w:w="106" w:type="dxa"/>
            <w:bottom w:w="0" w:type="dxa"/>
            <w:right w:w="0" w:type="dxa"/>
          </w:tblCellMar>
        </w:tblPrEx>
        <w:trPr>
          <w:trHeight w:val="636" w:hRule="atLeast"/>
        </w:trPr>
        <w:tc>
          <w:tcPr>
            <w:tcW w:w="992" w:type="dxa"/>
            <w:tcBorders>
              <w:top w:val="single" w:color="000000" w:sz="4" w:space="0"/>
              <w:left w:val="single" w:color="000000" w:sz="4" w:space="0"/>
              <w:bottom w:val="single" w:color="000000" w:sz="4" w:space="0"/>
              <w:right w:val="single" w:color="000000" w:sz="4" w:space="0"/>
            </w:tcBorders>
          </w:tcPr>
          <w:p w14:paraId="79961090">
            <w:pPr>
              <w:spacing w:after="0" w:line="259" w:lineRule="auto"/>
              <w:ind w:left="0" w:firstLine="0"/>
              <w:jc w:val="left"/>
            </w:pPr>
            <w:r>
              <w:t xml:space="preserve">45. </w:t>
            </w:r>
          </w:p>
        </w:tc>
        <w:tc>
          <w:tcPr>
            <w:tcW w:w="4962" w:type="dxa"/>
            <w:tcBorders>
              <w:top w:val="single" w:color="000000" w:sz="4" w:space="0"/>
              <w:left w:val="single" w:color="000000" w:sz="4" w:space="0"/>
              <w:bottom w:val="single" w:color="000000" w:sz="4" w:space="0"/>
              <w:right w:val="single" w:color="000000" w:sz="4" w:space="0"/>
            </w:tcBorders>
          </w:tcPr>
          <w:p w14:paraId="0D064F17">
            <w:pPr>
              <w:spacing w:after="0" w:line="259" w:lineRule="auto"/>
              <w:ind w:left="2" w:firstLine="0"/>
            </w:pPr>
            <w:r>
              <w:t>Preparation of analysis and research of a specific security/financial product/index on a foreign stock exchange</w:t>
            </w:r>
          </w:p>
        </w:tc>
        <w:tc>
          <w:tcPr>
            <w:tcW w:w="3400" w:type="dxa"/>
            <w:tcBorders>
              <w:top w:val="single" w:color="000000" w:sz="4" w:space="0"/>
              <w:left w:val="single" w:color="000000" w:sz="4" w:space="0"/>
              <w:bottom w:val="single" w:color="000000" w:sz="4" w:space="0"/>
              <w:right w:val="single" w:color="000000" w:sz="4" w:space="0"/>
            </w:tcBorders>
          </w:tcPr>
          <w:p w14:paraId="4614D2B0">
            <w:pPr>
              <w:spacing w:after="0" w:line="259" w:lineRule="auto"/>
              <w:ind w:left="2" w:firstLine="0"/>
              <w:jc w:val="left"/>
            </w:pPr>
            <w:r>
              <w:t>Up to RSD 1,000,000</w:t>
            </w:r>
            <w:r>
              <w:rPr>
                <w:b/>
              </w:rPr>
              <w:t xml:space="preserve"> </w:t>
            </w:r>
          </w:p>
        </w:tc>
      </w:tr>
      <w:tr w14:paraId="52E9AFDE">
        <w:tblPrEx>
          <w:tblCellMar>
            <w:top w:w="49" w:type="dxa"/>
            <w:left w:w="106" w:type="dxa"/>
            <w:bottom w:w="0" w:type="dxa"/>
            <w:right w:w="0" w:type="dxa"/>
          </w:tblCellMar>
        </w:tblPrEx>
        <w:trPr>
          <w:trHeight w:val="634" w:hRule="atLeast"/>
        </w:trPr>
        <w:tc>
          <w:tcPr>
            <w:tcW w:w="992" w:type="dxa"/>
            <w:tcBorders>
              <w:top w:val="single" w:color="000000" w:sz="4" w:space="0"/>
              <w:left w:val="single" w:color="000000" w:sz="4" w:space="0"/>
              <w:bottom w:val="single" w:color="000000" w:sz="4" w:space="0"/>
              <w:right w:val="single" w:color="000000" w:sz="4" w:space="0"/>
            </w:tcBorders>
          </w:tcPr>
          <w:p w14:paraId="5DA52214">
            <w:pPr>
              <w:spacing w:after="0" w:line="259" w:lineRule="auto"/>
              <w:ind w:left="0" w:firstLine="0"/>
              <w:jc w:val="left"/>
            </w:pPr>
            <w:r>
              <w:t xml:space="preserve">46. </w:t>
            </w:r>
          </w:p>
        </w:tc>
        <w:tc>
          <w:tcPr>
            <w:tcW w:w="4962" w:type="dxa"/>
            <w:tcBorders>
              <w:top w:val="single" w:color="000000" w:sz="4" w:space="0"/>
              <w:left w:val="single" w:color="000000" w:sz="4" w:space="0"/>
              <w:bottom w:val="single" w:color="000000" w:sz="4" w:space="0"/>
              <w:right w:val="single" w:color="000000" w:sz="4" w:space="0"/>
            </w:tcBorders>
          </w:tcPr>
          <w:p w14:paraId="23192F23">
            <w:pPr>
              <w:spacing w:after="0" w:line="259" w:lineRule="auto"/>
              <w:ind w:left="2" w:firstLine="0"/>
            </w:pPr>
            <w:r>
              <w:t xml:space="preserve">Delivery of a periodic report/analysis of a specific security on the Belgrade Stock Exchange, per report         </w:t>
            </w:r>
          </w:p>
        </w:tc>
        <w:tc>
          <w:tcPr>
            <w:tcW w:w="3400" w:type="dxa"/>
            <w:tcBorders>
              <w:top w:val="single" w:color="000000" w:sz="4" w:space="0"/>
              <w:left w:val="single" w:color="000000" w:sz="4" w:space="0"/>
              <w:bottom w:val="single" w:color="000000" w:sz="4" w:space="0"/>
              <w:right w:val="single" w:color="000000" w:sz="4" w:space="0"/>
            </w:tcBorders>
          </w:tcPr>
          <w:p w14:paraId="18320B56">
            <w:pPr>
              <w:spacing w:after="0" w:line="259" w:lineRule="auto"/>
              <w:ind w:left="2" w:firstLine="0"/>
              <w:jc w:val="left"/>
            </w:pPr>
            <w:r>
              <w:t>Up to RSD 200,000</w:t>
            </w:r>
            <w:r>
              <w:rPr>
                <w:b/>
              </w:rPr>
              <w:t xml:space="preserve"> </w:t>
            </w:r>
          </w:p>
        </w:tc>
      </w:tr>
      <w:tr w14:paraId="288A2DB3">
        <w:tblPrEx>
          <w:tblCellMar>
            <w:top w:w="49" w:type="dxa"/>
            <w:left w:w="106" w:type="dxa"/>
            <w:bottom w:w="0" w:type="dxa"/>
            <w:right w:w="0" w:type="dxa"/>
          </w:tblCellMar>
        </w:tblPrEx>
        <w:trPr>
          <w:trHeight w:val="888" w:hRule="atLeast"/>
        </w:trPr>
        <w:tc>
          <w:tcPr>
            <w:tcW w:w="992" w:type="dxa"/>
            <w:tcBorders>
              <w:top w:val="single" w:color="000000" w:sz="4" w:space="0"/>
              <w:left w:val="single" w:color="000000" w:sz="4" w:space="0"/>
              <w:bottom w:val="single" w:color="000000" w:sz="4" w:space="0"/>
              <w:right w:val="single" w:color="000000" w:sz="4" w:space="0"/>
            </w:tcBorders>
          </w:tcPr>
          <w:p w14:paraId="6A0CB861">
            <w:pPr>
              <w:spacing w:after="0" w:line="259" w:lineRule="auto"/>
              <w:ind w:left="0" w:firstLine="0"/>
              <w:jc w:val="left"/>
            </w:pPr>
            <w:r>
              <w:t xml:space="preserve">47. </w:t>
            </w:r>
          </w:p>
        </w:tc>
        <w:tc>
          <w:tcPr>
            <w:tcW w:w="4962" w:type="dxa"/>
            <w:tcBorders>
              <w:top w:val="single" w:color="000000" w:sz="4" w:space="0"/>
              <w:left w:val="single" w:color="000000" w:sz="4" w:space="0"/>
              <w:bottom w:val="single" w:color="000000" w:sz="4" w:space="0"/>
              <w:right w:val="single" w:color="000000" w:sz="4" w:space="0"/>
            </w:tcBorders>
          </w:tcPr>
          <w:p w14:paraId="050A4E30">
            <w:pPr>
              <w:spacing w:after="0" w:line="259" w:lineRule="auto"/>
              <w:ind w:left="2" w:firstLine="0"/>
              <w:jc w:val="left"/>
            </w:pPr>
            <w:r>
              <w:t>Delivery of a periodic report/analysis of a specific security/financial product/index on a foreign stock exchange, per report</w:t>
            </w:r>
          </w:p>
        </w:tc>
        <w:tc>
          <w:tcPr>
            <w:tcW w:w="3400" w:type="dxa"/>
            <w:tcBorders>
              <w:top w:val="single" w:color="000000" w:sz="4" w:space="0"/>
              <w:left w:val="single" w:color="000000" w:sz="4" w:space="0"/>
              <w:bottom w:val="single" w:color="000000" w:sz="4" w:space="0"/>
              <w:right w:val="single" w:color="000000" w:sz="4" w:space="0"/>
            </w:tcBorders>
          </w:tcPr>
          <w:p w14:paraId="77663EF5">
            <w:pPr>
              <w:spacing w:after="0" w:line="259" w:lineRule="auto"/>
              <w:ind w:left="2" w:firstLine="0"/>
              <w:jc w:val="left"/>
            </w:pPr>
            <w:r>
              <w:t>Up to RSD 1,000,000</w:t>
            </w:r>
            <w:r>
              <w:rPr>
                <w:b/>
              </w:rPr>
              <w:t xml:space="preserve"> </w:t>
            </w:r>
          </w:p>
        </w:tc>
      </w:tr>
      <w:tr w14:paraId="34E27496">
        <w:tblPrEx>
          <w:tblCellMar>
            <w:top w:w="49" w:type="dxa"/>
            <w:left w:w="106" w:type="dxa"/>
            <w:bottom w:w="0" w:type="dxa"/>
            <w:right w:w="0" w:type="dxa"/>
          </w:tblCellMar>
        </w:tblPrEx>
        <w:trPr>
          <w:trHeight w:val="382" w:hRule="atLeast"/>
        </w:trPr>
        <w:tc>
          <w:tcPr>
            <w:tcW w:w="992" w:type="dxa"/>
            <w:tcBorders>
              <w:top w:val="single" w:color="000000" w:sz="4" w:space="0"/>
              <w:left w:val="single" w:color="000000" w:sz="4" w:space="0"/>
              <w:bottom w:val="single" w:color="000000" w:sz="4" w:space="0"/>
              <w:right w:val="single" w:color="000000" w:sz="4" w:space="0"/>
            </w:tcBorders>
          </w:tcPr>
          <w:p w14:paraId="5807E6B2">
            <w:pPr>
              <w:spacing w:after="0" w:line="259" w:lineRule="auto"/>
              <w:ind w:left="0" w:firstLine="0"/>
              <w:jc w:val="left"/>
            </w:pPr>
            <w:r>
              <w:t xml:space="preserve">48. </w:t>
            </w:r>
          </w:p>
        </w:tc>
        <w:tc>
          <w:tcPr>
            <w:tcW w:w="4962" w:type="dxa"/>
            <w:tcBorders>
              <w:top w:val="single" w:color="000000" w:sz="4" w:space="0"/>
              <w:left w:val="single" w:color="000000" w:sz="4" w:space="0"/>
              <w:bottom w:val="single" w:color="000000" w:sz="4" w:space="0"/>
              <w:right w:val="single" w:color="000000" w:sz="4" w:space="0"/>
            </w:tcBorders>
          </w:tcPr>
          <w:p w14:paraId="422A1D1F">
            <w:pPr>
              <w:spacing w:after="0" w:line="259" w:lineRule="auto"/>
              <w:ind w:left="2" w:firstLine="0"/>
              <w:jc w:val="left"/>
            </w:pPr>
            <w:r>
              <w:t xml:space="preserve">Preparation of a portfolio analysis                                                             </w:t>
            </w:r>
          </w:p>
        </w:tc>
        <w:tc>
          <w:tcPr>
            <w:tcW w:w="3400" w:type="dxa"/>
            <w:tcBorders>
              <w:top w:val="single" w:color="000000" w:sz="4" w:space="0"/>
              <w:left w:val="single" w:color="000000" w:sz="4" w:space="0"/>
              <w:bottom w:val="single" w:color="000000" w:sz="4" w:space="0"/>
              <w:right w:val="single" w:color="000000" w:sz="4" w:space="0"/>
            </w:tcBorders>
          </w:tcPr>
          <w:p w14:paraId="64ABFBA9">
            <w:pPr>
              <w:spacing w:after="0" w:line="259" w:lineRule="auto"/>
              <w:ind w:left="2" w:firstLine="0"/>
              <w:jc w:val="left"/>
            </w:pPr>
            <w:r>
              <w:t>Up to RSD 100,000</w:t>
            </w:r>
            <w:r>
              <w:rPr>
                <w:b/>
              </w:rPr>
              <w:t xml:space="preserve"> </w:t>
            </w:r>
          </w:p>
        </w:tc>
      </w:tr>
      <w:tr w14:paraId="0FF4EA6D">
        <w:tblPrEx>
          <w:tblCellMar>
            <w:top w:w="49" w:type="dxa"/>
            <w:left w:w="106" w:type="dxa"/>
            <w:bottom w:w="0" w:type="dxa"/>
            <w:right w:w="0" w:type="dxa"/>
          </w:tblCellMar>
        </w:tblPrEx>
        <w:trPr>
          <w:trHeight w:val="384" w:hRule="atLeast"/>
        </w:trPr>
        <w:tc>
          <w:tcPr>
            <w:tcW w:w="992" w:type="dxa"/>
            <w:tcBorders>
              <w:top w:val="single" w:color="000000" w:sz="4" w:space="0"/>
              <w:left w:val="single" w:color="000000" w:sz="4" w:space="0"/>
              <w:bottom w:val="single" w:color="000000" w:sz="4" w:space="0"/>
              <w:right w:val="single" w:color="000000" w:sz="4" w:space="0"/>
            </w:tcBorders>
          </w:tcPr>
          <w:p w14:paraId="6E9F716F">
            <w:pPr>
              <w:spacing w:after="0" w:line="259" w:lineRule="auto"/>
              <w:ind w:left="0" w:firstLine="0"/>
              <w:jc w:val="left"/>
            </w:pPr>
            <w:r>
              <w:t xml:space="preserve">49. </w:t>
            </w:r>
          </w:p>
        </w:tc>
        <w:tc>
          <w:tcPr>
            <w:tcW w:w="4962" w:type="dxa"/>
            <w:tcBorders>
              <w:top w:val="single" w:color="000000" w:sz="4" w:space="0"/>
              <w:left w:val="single" w:color="000000" w:sz="4" w:space="0"/>
              <w:bottom w:val="single" w:color="000000" w:sz="4" w:space="0"/>
              <w:right w:val="single" w:color="000000" w:sz="4" w:space="0"/>
            </w:tcBorders>
          </w:tcPr>
          <w:p w14:paraId="75CFB272">
            <w:pPr>
              <w:spacing w:after="0" w:line="259" w:lineRule="auto"/>
              <w:ind w:left="2" w:firstLine="0"/>
              <w:jc w:val="left"/>
            </w:pPr>
            <w:r>
              <w:t xml:space="preserve">Preparation of a domestic market analysis                                                </w:t>
            </w:r>
          </w:p>
        </w:tc>
        <w:tc>
          <w:tcPr>
            <w:tcW w:w="3400" w:type="dxa"/>
            <w:tcBorders>
              <w:top w:val="single" w:color="000000" w:sz="4" w:space="0"/>
              <w:left w:val="single" w:color="000000" w:sz="4" w:space="0"/>
              <w:bottom w:val="single" w:color="000000" w:sz="4" w:space="0"/>
              <w:right w:val="single" w:color="000000" w:sz="4" w:space="0"/>
            </w:tcBorders>
          </w:tcPr>
          <w:p w14:paraId="3BFDBAD2">
            <w:pPr>
              <w:spacing w:after="0" w:line="259" w:lineRule="auto"/>
              <w:ind w:left="2" w:firstLine="0"/>
              <w:jc w:val="left"/>
            </w:pPr>
            <w:r>
              <w:t>Up to RSD 300,000</w:t>
            </w:r>
            <w:r>
              <w:rPr>
                <w:b/>
              </w:rPr>
              <w:t xml:space="preserve"> </w:t>
            </w:r>
          </w:p>
        </w:tc>
      </w:tr>
      <w:tr w14:paraId="08727FA3">
        <w:tblPrEx>
          <w:tblCellMar>
            <w:top w:w="49" w:type="dxa"/>
            <w:left w:w="106" w:type="dxa"/>
            <w:bottom w:w="0" w:type="dxa"/>
            <w:right w:w="0" w:type="dxa"/>
          </w:tblCellMar>
        </w:tblPrEx>
        <w:trPr>
          <w:trHeight w:val="382" w:hRule="atLeast"/>
        </w:trPr>
        <w:tc>
          <w:tcPr>
            <w:tcW w:w="992" w:type="dxa"/>
            <w:tcBorders>
              <w:top w:val="single" w:color="000000" w:sz="4" w:space="0"/>
              <w:left w:val="single" w:color="000000" w:sz="4" w:space="0"/>
              <w:bottom w:val="single" w:color="000000" w:sz="4" w:space="0"/>
              <w:right w:val="single" w:color="000000" w:sz="4" w:space="0"/>
            </w:tcBorders>
          </w:tcPr>
          <w:p w14:paraId="41D20CCC">
            <w:pPr>
              <w:spacing w:after="0" w:line="259" w:lineRule="auto"/>
              <w:ind w:left="0" w:firstLine="0"/>
              <w:jc w:val="left"/>
            </w:pPr>
            <w:r>
              <w:t xml:space="preserve">50. </w:t>
            </w:r>
          </w:p>
        </w:tc>
        <w:tc>
          <w:tcPr>
            <w:tcW w:w="4962" w:type="dxa"/>
            <w:tcBorders>
              <w:top w:val="single" w:color="000000" w:sz="4" w:space="0"/>
              <w:left w:val="single" w:color="000000" w:sz="4" w:space="0"/>
              <w:bottom w:val="single" w:color="000000" w:sz="4" w:space="0"/>
              <w:right w:val="single" w:color="000000" w:sz="4" w:space="0"/>
            </w:tcBorders>
          </w:tcPr>
          <w:p w14:paraId="3241C69A">
            <w:pPr>
              <w:spacing w:after="0" w:line="259" w:lineRule="auto"/>
              <w:ind w:left="2" w:firstLine="0"/>
              <w:jc w:val="left"/>
            </w:pPr>
            <w:r>
              <w:t xml:space="preserve">Preparation of a foreign market analysis                                                   </w:t>
            </w:r>
          </w:p>
        </w:tc>
        <w:tc>
          <w:tcPr>
            <w:tcW w:w="3400" w:type="dxa"/>
            <w:tcBorders>
              <w:top w:val="single" w:color="000000" w:sz="4" w:space="0"/>
              <w:left w:val="single" w:color="000000" w:sz="4" w:space="0"/>
              <w:bottom w:val="single" w:color="000000" w:sz="4" w:space="0"/>
              <w:right w:val="single" w:color="000000" w:sz="4" w:space="0"/>
            </w:tcBorders>
          </w:tcPr>
          <w:p w14:paraId="206CC948">
            <w:pPr>
              <w:spacing w:after="0" w:line="259" w:lineRule="auto"/>
              <w:ind w:left="2" w:firstLine="0"/>
              <w:jc w:val="left"/>
            </w:pPr>
            <w:r>
              <w:t>Up to RSD 1,000,000</w:t>
            </w:r>
            <w:r>
              <w:rPr>
                <w:b/>
              </w:rPr>
              <w:t xml:space="preserve"> </w:t>
            </w:r>
          </w:p>
        </w:tc>
      </w:tr>
    </w:tbl>
    <w:p w14:paraId="2B9757B3">
      <w:pPr>
        <w:spacing w:after="98" w:line="259" w:lineRule="auto"/>
        <w:ind w:left="0" w:firstLine="0"/>
        <w:jc w:val="left"/>
      </w:pPr>
      <w:r>
        <w:rPr>
          <w:b/>
        </w:rPr>
        <w:t xml:space="preserve"> </w:t>
      </w:r>
    </w:p>
    <w:p w14:paraId="47835835">
      <w:pPr>
        <w:pStyle w:val="4"/>
        <w:spacing w:after="0"/>
        <w:ind w:left="-5"/>
      </w:pPr>
    </w:p>
    <w:p w14:paraId="4D87C503">
      <w:pPr>
        <w:pStyle w:val="4"/>
        <w:spacing w:after="0"/>
        <w:ind w:left="-5"/>
      </w:pPr>
    </w:p>
    <w:p w14:paraId="680C2C71">
      <w:pPr>
        <w:pStyle w:val="4"/>
        <w:spacing w:after="0"/>
        <w:ind w:left="-5"/>
      </w:pPr>
      <w:r>
        <w:t xml:space="preserve">VI  Commission for Portfolio Management Operations </w:t>
      </w:r>
    </w:p>
    <w:p w14:paraId="3611D0A8">
      <w:pPr>
        <w:spacing w:after="0" w:line="259" w:lineRule="auto"/>
        <w:ind w:left="0" w:firstLine="0"/>
        <w:jc w:val="left"/>
      </w:pPr>
      <w:r>
        <w:rPr>
          <w:b/>
        </w:rPr>
        <w:t xml:space="preserve"> </w:t>
      </w:r>
    </w:p>
    <w:p w14:paraId="647E7C32">
      <w:pPr>
        <w:ind w:left="-5" w:right="770"/>
      </w:pPr>
      <w:r>
        <w:t xml:space="preserve">For securities management operations (portfolio management operations), the Bank charges a fee according to a separate agreement entered into with the client. The maximum commission and fees for portfolio management operations are as follows: </w:t>
      </w:r>
    </w:p>
    <w:p w14:paraId="672BE46A">
      <w:pPr>
        <w:numPr>
          <w:ilvl w:val="0"/>
          <w:numId w:val="4"/>
        </w:numPr>
        <w:spacing w:after="0"/>
        <w:ind w:right="922" w:hanging="360"/>
      </w:pPr>
      <w:r>
        <w:t>Annual management commission of up to 2% of the portfolio value;</w:t>
      </w:r>
    </w:p>
    <w:p w14:paraId="636F68B9">
      <w:pPr>
        <w:numPr>
          <w:ilvl w:val="0"/>
          <w:numId w:val="4"/>
        </w:numPr>
        <w:spacing w:after="0"/>
        <w:ind w:right="922" w:hanging="360"/>
      </w:pPr>
      <w:r>
        <w:t xml:space="preserve">Fee from the annual profit achieved will be set out in the agreement; </w:t>
      </w:r>
    </w:p>
    <w:p w14:paraId="441163E3">
      <w:pPr>
        <w:numPr>
          <w:ilvl w:val="0"/>
          <w:numId w:val="4"/>
        </w:numPr>
        <w:spacing w:after="118"/>
        <w:ind w:right="922" w:hanging="360"/>
      </w:pPr>
      <w:r>
        <w:t xml:space="preserve">Fee for termination of the management agreement will be set out in the agreement. </w:t>
      </w:r>
    </w:p>
    <w:p w14:paraId="6A31DDC5">
      <w:pPr>
        <w:spacing w:after="94"/>
        <w:ind w:left="-5" w:right="770"/>
      </w:pPr>
      <w:r>
        <w:t xml:space="preserve">The fee amount will be set according to the portfolio structure. </w:t>
      </w:r>
    </w:p>
    <w:p w14:paraId="1615B466">
      <w:pPr>
        <w:spacing w:after="100" w:line="259" w:lineRule="auto"/>
        <w:ind w:left="0" w:firstLine="0"/>
        <w:jc w:val="left"/>
      </w:pPr>
      <w:r>
        <w:t xml:space="preserve"> </w:t>
      </w:r>
    </w:p>
    <w:p w14:paraId="59B65AC2">
      <w:pPr>
        <w:pStyle w:val="4"/>
        <w:spacing w:after="0"/>
      </w:pPr>
      <w:r>
        <w:t>VII   Commission for Investment Advisory Operations</w:t>
      </w:r>
    </w:p>
    <w:p w14:paraId="43C4BD09">
      <w:pPr>
        <w:spacing w:after="0" w:line="259" w:lineRule="auto"/>
        <w:ind w:left="0" w:firstLine="0"/>
        <w:jc w:val="left"/>
      </w:pPr>
      <w:r>
        <w:rPr>
          <w:b/>
        </w:rPr>
        <w:t xml:space="preserve"> </w:t>
      </w:r>
    </w:p>
    <w:p w14:paraId="6D94E612">
      <w:pPr>
        <w:ind w:left="-5" w:right="770"/>
      </w:pPr>
      <w:r>
        <w:t xml:space="preserve">For investment advisory operations, the Bank charges a fee according to a separate agreement entered into with the client. The maximum commission and fee for investment advisory operations is up to 5% of the portfolio value per annum, with quarterly calculation and charging of the commission. </w:t>
      </w:r>
    </w:p>
    <w:p w14:paraId="044B3EA6">
      <w:pPr>
        <w:spacing w:after="98" w:line="259" w:lineRule="auto"/>
        <w:ind w:left="0" w:firstLine="0"/>
        <w:jc w:val="left"/>
      </w:pPr>
      <w:r>
        <w:t xml:space="preserve"> </w:t>
      </w:r>
    </w:p>
    <w:p w14:paraId="55AF0E64">
      <w:pPr>
        <w:spacing w:after="0" w:line="259" w:lineRule="auto"/>
        <w:jc w:val="left"/>
      </w:pPr>
      <w:r>
        <w:rPr>
          <w:b/>
        </w:rPr>
        <w:t xml:space="preserve">VIII  Borrowing of Financial Instruments </w:t>
      </w:r>
    </w:p>
    <w:p w14:paraId="37C7F2FD">
      <w:pPr>
        <w:spacing w:after="0" w:line="259" w:lineRule="auto"/>
        <w:ind w:left="0" w:firstLine="0"/>
        <w:jc w:val="left"/>
      </w:pPr>
      <w:r>
        <w:rPr>
          <w:b/>
        </w:rPr>
        <w:t xml:space="preserve"> </w:t>
      </w:r>
    </w:p>
    <w:p w14:paraId="0CC19387">
      <w:pPr>
        <w:pStyle w:val="4"/>
        <w:ind w:left="355"/>
      </w:pPr>
      <w:r>
        <w:rPr>
          <w:b w:val="0"/>
        </w:rPr>
        <w:t xml:space="preserve">1. </w:t>
      </w:r>
      <w:r>
        <w:t>Commission for Borrowing of Financial Instruments</w:t>
      </w:r>
    </w:p>
    <w:p w14:paraId="79455DAF">
      <w:pPr>
        <w:pStyle w:val="11"/>
        <w:numPr>
          <w:ilvl w:val="0"/>
          <w:numId w:val="1"/>
        </w:numPr>
        <w:ind w:right="770"/>
      </w:pPr>
      <w:r>
        <w:t xml:space="preserve">The commission is up to 5% of the market value of the borrowed financial instruments, including additional costs such as clearing and balancing. </w:t>
      </w:r>
    </w:p>
    <w:p w14:paraId="7527F2E4">
      <w:pPr>
        <w:spacing w:after="177" w:line="259" w:lineRule="auto"/>
        <w:ind w:left="720" w:firstLine="0"/>
        <w:jc w:val="left"/>
      </w:pPr>
      <w:r>
        <w:t xml:space="preserve"> </w:t>
      </w:r>
    </w:p>
    <w:p w14:paraId="189DF976">
      <w:pPr>
        <w:pStyle w:val="4"/>
        <w:tabs>
          <w:tab w:val="center" w:pos="4957"/>
        </w:tabs>
        <w:spacing w:after="101"/>
        <w:ind w:left="-15" w:firstLine="0"/>
      </w:pPr>
      <w:r>
        <w:t>IX  Custody and Administration of Financial Instruments</w:t>
      </w:r>
      <w:r>
        <w:tab/>
      </w:r>
      <w:r>
        <w:t xml:space="preserve"> </w:t>
      </w:r>
    </w:p>
    <w:p w14:paraId="7F77D53E">
      <w:pPr>
        <w:spacing w:after="0" w:line="259" w:lineRule="auto"/>
        <w:ind w:left="0" w:firstLine="0"/>
        <w:jc w:val="left"/>
      </w:pPr>
      <w:r>
        <w:rPr>
          <w:b/>
        </w:rPr>
        <w:t xml:space="preserve"> </w:t>
      </w:r>
    </w:p>
    <w:tbl>
      <w:tblPr>
        <w:tblStyle w:val="10"/>
        <w:tblW w:w="9496" w:type="dxa"/>
        <w:tblInd w:w="-140" w:type="dxa"/>
        <w:tblLayout w:type="autofit"/>
        <w:tblCellMar>
          <w:top w:w="49" w:type="dxa"/>
          <w:left w:w="0" w:type="dxa"/>
          <w:bottom w:w="0" w:type="dxa"/>
          <w:right w:w="56" w:type="dxa"/>
        </w:tblCellMar>
      </w:tblPr>
      <w:tblGrid>
        <w:gridCol w:w="851"/>
        <w:gridCol w:w="5108"/>
        <w:gridCol w:w="2617"/>
        <w:gridCol w:w="920"/>
      </w:tblGrid>
      <w:tr w14:paraId="32AC4080">
        <w:tblPrEx>
          <w:tblCellMar>
            <w:top w:w="49" w:type="dxa"/>
            <w:left w:w="0" w:type="dxa"/>
            <w:bottom w:w="0" w:type="dxa"/>
            <w:right w:w="56"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shd w:val="clear" w:color="auto" w:fill="F2F2F2"/>
          </w:tcPr>
          <w:p w14:paraId="333CA043">
            <w:pPr>
              <w:spacing w:after="0" w:line="259" w:lineRule="auto"/>
              <w:ind w:left="107" w:firstLine="0"/>
              <w:jc w:val="left"/>
            </w:pPr>
            <w:r>
              <w:rPr>
                <w:b/>
              </w:rPr>
              <w:t>No.</w:t>
            </w:r>
          </w:p>
        </w:tc>
        <w:tc>
          <w:tcPr>
            <w:tcW w:w="5108" w:type="dxa"/>
            <w:tcBorders>
              <w:top w:val="single" w:color="000000" w:sz="4" w:space="0"/>
              <w:left w:val="single" w:color="000000" w:sz="4" w:space="0"/>
              <w:bottom w:val="single" w:color="000000" w:sz="4" w:space="0"/>
              <w:right w:val="single" w:color="000000" w:sz="4" w:space="0"/>
            </w:tcBorders>
            <w:shd w:val="clear" w:color="auto" w:fill="F2F2F2"/>
          </w:tcPr>
          <w:p w14:paraId="37DD042E">
            <w:pPr>
              <w:spacing w:after="0" w:line="259" w:lineRule="auto"/>
              <w:ind w:left="108" w:firstLine="0"/>
              <w:jc w:val="left"/>
            </w:pPr>
            <w:r>
              <w:rPr>
                <w:b/>
              </w:rPr>
              <w:t xml:space="preserve">FI CUSTODY AND ADMINISTRATION </w:t>
            </w:r>
          </w:p>
        </w:tc>
        <w:tc>
          <w:tcPr>
            <w:tcW w:w="2617" w:type="dxa"/>
            <w:tcBorders>
              <w:top w:val="single" w:color="000000" w:sz="4" w:space="0"/>
              <w:left w:val="single" w:color="000000" w:sz="4" w:space="0"/>
              <w:bottom w:val="single" w:color="000000" w:sz="4" w:space="0"/>
              <w:right w:val="nil"/>
            </w:tcBorders>
            <w:shd w:val="clear" w:color="auto" w:fill="F2F2F2"/>
          </w:tcPr>
          <w:p w14:paraId="34F62A62">
            <w:pPr>
              <w:spacing w:after="0" w:line="259" w:lineRule="auto"/>
              <w:ind w:left="108" w:firstLine="0"/>
              <w:jc w:val="left"/>
            </w:pPr>
            <w:r>
              <w:rPr>
                <w:b/>
              </w:rPr>
              <w:t xml:space="preserve">Commission, fee </w:t>
            </w:r>
          </w:p>
        </w:tc>
        <w:tc>
          <w:tcPr>
            <w:tcW w:w="920" w:type="dxa"/>
            <w:tcBorders>
              <w:top w:val="single" w:color="000000" w:sz="4" w:space="0"/>
              <w:left w:val="nil"/>
              <w:bottom w:val="single" w:color="000000" w:sz="4" w:space="0"/>
              <w:right w:val="single" w:color="000000" w:sz="4" w:space="0"/>
            </w:tcBorders>
            <w:shd w:val="clear" w:color="auto" w:fill="F2F2F2"/>
          </w:tcPr>
          <w:p w14:paraId="62C4CAFD">
            <w:pPr>
              <w:spacing w:after="160" w:line="259" w:lineRule="auto"/>
              <w:ind w:left="0" w:firstLine="0"/>
              <w:jc w:val="left"/>
            </w:pPr>
          </w:p>
        </w:tc>
      </w:tr>
      <w:tr w14:paraId="118F355B">
        <w:tblPrEx>
          <w:tblCellMar>
            <w:top w:w="49" w:type="dxa"/>
            <w:left w:w="0" w:type="dxa"/>
            <w:bottom w:w="0" w:type="dxa"/>
            <w:right w:w="56" w:type="dxa"/>
          </w:tblCellMar>
        </w:tblPrEx>
        <w:trPr>
          <w:trHeight w:val="988" w:hRule="atLeast"/>
        </w:trPr>
        <w:tc>
          <w:tcPr>
            <w:tcW w:w="851" w:type="dxa"/>
            <w:tcBorders>
              <w:top w:val="single" w:color="000000" w:sz="4" w:space="0"/>
              <w:left w:val="single" w:color="000000" w:sz="4" w:space="0"/>
              <w:bottom w:val="single" w:color="000000" w:sz="4" w:space="0"/>
              <w:right w:val="single" w:color="000000" w:sz="4" w:space="0"/>
            </w:tcBorders>
          </w:tcPr>
          <w:p w14:paraId="15333A41">
            <w:pPr>
              <w:spacing w:after="0" w:line="259" w:lineRule="auto"/>
              <w:ind w:left="107" w:firstLine="0"/>
              <w:jc w:val="left"/>
            </w:pPr>
            <w:r>
              <w:t xml:space="preserve">51. </w:t>
            </w:r>
          </w:p>
        </w:tc>
        <w:tc>
          <w:tcPr>
            <w:tcW w:w="5108" w:type="dxa"/>
            <w:tcBorders>
              <w:top w:val="single" w:color="000000" w:sz="4" w:space="0"/>
              <w:left w:val="single" w:color="000000" w:sz="4" w:space="0"/>
              <w:bottom w:val="single" w:color="000000" w:sz="4" w:space="0"/>
              <w:right w:val="single" w:color="000000" w:sz="4" w:space="0"/>
            </w:tcBorders>
          </w:tcPr>
          <w:p w14:paraId="694E9B97">
            <w:pPr>
              <w:spacing w:after="0" w:line="259" w:lineRule="auto"/>
              <w:ind w:left="108" w:right="51" w:firstLine="0"/>
            </w:pPr>
            <w:r>
              <w:t>Commission for the custody of financial instruments registered in the Republic of Serbia, for collective accounts opened on behalf of the Bank and for the account of the client</w:t>
            </w:r>
          </w:p>
        </w:tc>
        <w:tc>
          <w:tcPr>
            <w:tcW w:w="3537" w:type="dxa"/>
            <w:gridSpan w:val="2"/>
            <w:tcBorders>
              <w:top w:val="single" w:color="000000" w:sz="4" w:space="0"/>
              <w:left w:val="single" w:color="000000" w:sz="4" w:space="0"/>
              <w:bottom w:val="single" w:color="000000" w:sz="4" w:space="0"/>
              <w:right w:val="single" w:color="000000" w:sz="4" w:space="0"/>
            </w:tcBorders>
          </w:tcPr>
          <w:p w14:paraId="185BB72F">
            <w:pPr>
              <w:spacing w:after="0" w:line="259" w:lineRule="auto"/>
              <w:ind w:left="108" w:firstLine="0"/>
            </w:pPr>
            <w:r>
              <w:t xml:space="preserve">Maximum commission: Up to 0.3% per annum. </w:t>
            </w:r>
          </w:p>
        </w:tc>
      </w:tr>
      <w:tr w14:paraId="61AF25C7">
        <w:tblPrEx>
          <w:tblCellMar>
            <w:top w:w="49" w:type="dxa"/>
            <w:left w:w="0" w:type="dxa"/>
            <w:bottom w:w="0" w:type="dxa"/>
            <w:right w:w="56" w:type="dxa"/>
          </w:tblCellMar>
        </w:tblPrEx>
        <w:trPr>
          <w:trHeight w:val="715" w:hRule="atLeast"/>
        </w:trPr>
        <w:tc>
          <w:tcPr>
            <w:tcW w:w="851" w:type="dxa"/>
            <w:tcBorders>
              <w:top w:val="single" w:color="000000" w:sz="4" w:space="0"/>
              <w:left w:val="single" w:color="000000" w:sz="4" w:space="0"/>
              <w:bottom w:val="single" w:color="000000" w:sz="4" w:space="0"/>
              <w:right w:val="single" w:color="000000" w:sz="4" w:space="0"/>
            </w:tcBorders>
          </w:tcPr>
          <w:p w14:paraId="3DFEAF23">
            <w:pPr>
              <w:spacing w:after="0" w:line="259" w:lineRule="auto"/>
              <w:ind w:left="107" w:firstLine="0"/>
              <w:jc w:val="left"/>
            </w:pPr>
            <w:r>
              <w:t xml:space="preserve">52. </w:t>
            </w:r>
          </w:p>
        </w:tc>
        <w:tc>
          <w:tcPr>
            <w:tcW w:w="5108" w:type="dxa"/>
            <w:tcBorders>
              <w:top w:val="single" w:color="000000" w:sz="4" w:space="0"/>
              <w:left w:val="single" w:color="000000" w:sz="4" w:space="0"/>
              <w:bottom w:val="single" w:color="000000" w:sz="4" w:space="0"/>
              <w:right w:val="single" w:color="000000" w:sz="4" w:space="0"/>
            </w:tcBorders>
          </w:tcPr>
          <w:p w14:paraId="6E91ABB4">
            <w:pPr>
              <w:spacing w:after="0" w:line="259" w:lineRule="auto"/>
              <w:ind w:left="108" w:firstLine="0"/>
              <w:jc w:val="left"/>
            </w:pPr>
            <w:r>
              <w:t>Commission for the custody of financial instruments registered abroad</w:t>
            </w:r>
          </w:p>
        </w:tc>
        <w:tc>
          <w:tcPr>
            <w:tcW w:w="3537" w:type="dxa"/>
            <w:gridSpan w:val="2"/>
            <w:tcBorders>
              <w:top w:val="single" w:color="000000" w:sz="4" w:space="0"/>
              <w:left w:val="single" w:color="000000" w:sz="4" w:space="0"/>
              <w:bottom w:val="single" w:color="000000" w:sz="4" w:space="0"/>
              <w:right w:val="single" w:color="000000" w:sz="4" w:space="0"/>
            </w:tcBorders>
          </w:tcPr>
          <w:p w14:paraId="535AE926">
            <w:pPr>
              <w:spacing w:after="0" w:line="259" w:lineRule="auto"/>
              <w:ind w:left="108" w:firstLine="0"/>
            </w:pPr>
            <w:r>
              <w:t>Maximum commission: Up to 0.5% per annum.</w:t>
            </w:r>
          </w:p>
        </w:tc>
      </w:tr>
    </w:tbl>
    <w:p w14:paraId="17492E5E">
      <w:pPr>
        <w:spacing w:after="98" w:line="259" w:lineRule="auto"/>
        <w:ind w:left="0" w:firstLine="0"/>
        <w:jc w:val="left"/>
      </w:pPr>
      <w:r>
        <w:t xml:space="preserve"> </w:t>
      </w:r>
    </w:p>
    <w:p w14:paraId="6D849547">
      <w:pPr>
        <w:spacing w:after="100"/>
        <w:ind w:left="-5" w:right="770"/>
      </w:pPr>
      <w:r>
        <w:rPr>
          <w:b/>
        </w:rPr>
        <w:t>Schedule headings 1 and 2</w:t>
      </w:r>
      <w:r>
        <w:rPr>
          <w:bCs/>
        </w:rPr>
        <w:t>:</w:t>
      </w:r>
      <w:r>
        <w:t xml:space="preserve"> Calculated daily and charged monthly based on invoices, as the sum of all daily portfolio values for the preceding month. The commission is stated per annum, exclusive of VAT. The stated commission includes any sub-depositary commissions. The fee calculation base is the value of the financial instruments held on the account. It is calculated on the basis of the actual number of days in the month, over a calendar year of 360 days. Listed financial instruments are valued on a daily basis at market value, while debt instruments, as well as any instruments in respect of which the Bank has no market information available, are valued at par value. For shares of issuing companies in bankruptcy/liquidation, the basis used in the calculation of this schedule item is zero.</w:t>
      </w:r>
    </w:p>
    <w:p w14:paraId="125FA96D">
      <w:pPr>
        <w:spacing w:after="117" w:line="259" w:lineRule="auto"/>
        <w:ind w:left="0" w:firstLine="0"/>
        <w:jc w:val="left"/>
      </w:pPr>
      <w:r>
        <w:t xml:space="preserve"> </w:t>
      </w:r>
    </w:p>
    <w:p w14:paraId="7AF36BF9">
      <w:pPr>
        <w:pStyle w:val="4"/>
        <w:tabs>
          <w:tab w:val="center" w:pos="4249"/>
        </w:tabs>
        <w:spacing w:after="101"/>
        <w:ind w:left="-15" w:firstLine="0"/>
      </w:pPr>
      <w:r>
        <w:t xml:space="preserve">X  Opening of Financial Instrument Accounts </w:t>
      </w:r>
      <w:r>
        <w:tab/>
      </w:r>
      <w:r>
        <w:t xml:space="preserve"> </w:t>
      </w:r>
    </w:p>
    <w:p w14:paraId="67822431">
      <w:pPr>
        <w:spacing w:after="0" w:line="259" w:lineRule="auto"/>
        <w:ind w:left="0" w:firstLine="0"/>
        <w:jc w:val="left"/>
      </w:pPr>
      <w:r>
        <w:rPr>
          <w:b/>
        </w:rPr>
        <w:t xml:space="preserve"> </w:t>
      </w:r>
    </w:p>
    <w:tbl>
      <w:tblPr>
        <w:tblStyle w:val="10"/>
        <w:tblW w:w="9727" w:type="dxa"/>
        <w:tblInd w:w="2" w:type="dxa"/>
        <w:tblLayout w:type="autofit"/>
        <w:tblCellMar>
          <w:top w:w="49" w:type="dxa"/>
          <w:left w:w="142" w:type="dxa"/>
          <w:bottom w:w="0" w:type="dxa"/>
          <w:right w:w="58" w:type="dxa"/>
        </w:tblCellMar>
      </w:tblPr>
      <w:tblGrid>
        <w:gridCol w:w="1275"/>
        <w:gridCol w:w="4977"/>
        <w:gridCol w:w="3475"/>
      </w:tblGrid>
      <w:tr w14:paraId="34E21F9F">
        <w:tblPrEx>
          <w:tblCellMar>
            <w:top w:w="49" w:type="dxa"/>
            <w:left w:w="142" w:type="dxa"/>
            <w:bottom w:w="0" w:type="dxa"/>
            <w:right w:w="58" w:type="dxa"/>
          </w:tblCellMar>
        </w:tblPrEx>
        <w:trPr>
          <w:trHeight w:val="43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2F2F2"/>
          </w:tcPr>
          <w:p w14:paraId="06B36C02">
            <w:pPr>
              <w:spacing w:after="0" w:line="259" w:lineRule="auto"/>
              <w:ind w:left="0" w:firstLine="0"/>
              <w:jc w:val="left"/>
            </w:pPr>
            <w:r>
              <w:rPr>
                <w:b/>
              </w:rPr>
              <w:t>No.</w:t>
            </w:r>
          </w:p>
        </w:tc>
        <w:tc>
          <w:tcPr>
            <w:tcW w:w="4977" w:type="dxa"/>
            <w:tcBorders>
              <w:top w:val="single" w:color="000000" w:sz="4" w:space="0"/>
              <w:left w:val="single" w:color="000000" w:sz="4" w:space="0"/>
              <w:bottom w:val="single" w:color="000000" w:sz="4" w:space="0"/>
              <w:right w:val="single" w:color="000000" w:sz="4" w:space="0"/>
            </w:tcBorders>
            <w:shd w:val="clear" w:color="auto" w:fill="F2F2F2"/>
          </w:tcPr>
          <w:p w14:paraId="2C433409">
            <w:pPr>
              <w:spacing w:after="0" w:line="259" w:lineRule="auto"/>
              <w:ind w:left="26" w:firstLine="0"/>
              <w:jc w:val="left"/>
            </w:pPr>
            <w:r>
              <w:rPr>
                <w:b/>
              </w:rPr>
              <w:t xml:space="preserve">OPENING OF FI ACCOUNTS </w:t>
            </w:r>
          </w:p>
        </w:tc>
        <w:tc>
          <w:tcPr>
            <w:tcW w:w="3475" w:type="dxa"/>
            <w:tcBorders>
              <w:top w:val="single" w:color="000000" w:sz="4" w:space="0"/>
              <w:left w:val="single" w:color="000000" w:sz="4" w:space="0"/>
              <w:bottom w:val="single" w:color="000000" w:sz="4" w:space="0"/>
              <w:right w:val="single" w:color="000000" w:sz="4" w:space="0"/>
            </w:tcBorders>
            <w:shd w:val="clear" w:color="auto" w:fill="F2F2F2"/>
          </w:tcPr>
          <w:p w14:paraId="293016A9">
            <w:pPr>
              <w:spacing w:after="0" w:line="259" w:lineRule="auto"/>
              <w:ind w:left="536" w:firstLine="0"/>
              <w:jc w:val="left"/>
            </w:pPr>
            <w:r>
              <w:rPr>
                <w:b/>
              </w:rPr>
              <w:t>Commission, fee</w:t>
            </w:r>
            <w:r>
              <w:t xml:space="preserve"> </w:t>
            </w:r>
          </w:p>
        </w:tc>
      </w:tr>
      <w:tr w14:paraId="6E7C588F">
        <w:tblPrEx>
          <w:tblCellMar>
            <w:top w:w="49" w:type="dxa"/>
            <w:left w:w="142" w:type="dxa"/>
            <w:bottom w:w="0" w:type="dxa"/>
            <w:right w:w="58" w:type="dxa"/>
          </w:tblCellMar>
        </w:tblPrEx>
        <w:trPr>
          <w:trHeight w:val="638" w:hRule="atLeast"/>
        </w:trPr>
        <w:tc>
          <w:tcPr>
            <w:tcW w:w="1275" w:type="dxa"/>
            <w:tcBorders>
              <w:top w:val="single" w:color="000000" w:sz="4" w:space="0"/>
              <w:left w:val="single" w:color="000000" w:sz="4" w:space="0"/>
              <w:bottom w:val="single" w:color="000000" w:sz="4" w:space="0"/>
              <w:right w:val="single" w:color="000000" w:sz="4" w:space="0"/>
            </w:tcBorders>
          </w:tcPr>
          <w:p w14:paraId="61E3E283">
            <w:pPr>
              <w:spacing w:after="0" w:line="259" w:lineRule="auto"/>
              <w:ind w:left="0" w:firstLine="0"/>
              <w:jc w:val="left"/>
            </w:pPr>
            <w:r>
              <w:t xml:space="preserve">53. </w:t>
            </w:r>
          </w:p>
        </w:tc>
        <w:tc>
          <w:tcPr>
            <w:tcW w:w="4977" w:type="dxa"/>
            <w:tcBorders>
              <w:top w:val="single" w:color="000000" w:sz="4" w:space="0"/>
              <w:left w:val="single" w:color="000000" w:sz="4" w:space="0"/>
              <w:bottom w:val="single" w:color="000000" w:sz="4" w:space="0"/>
              <w:right w:val="single" w:color="000000" w:sz="4" w:space="0"/>
            </w:tcBorders>
          </w:tcPr>
          <w:p w14:paraId="7E75ADED">
            <w:pPr>
              <w:spacing w:after="0" w:line="259" w:lineRule="auto"/>
              <w:ind w:left="26" w:firstLine="0"/>
            </w:pPr>
            <w:r>
              <w:t xml:space="preserve">Fee for opening an ownership account for financial instruments (individual customers) </w:t>
            </w:r>
          </w:p>
        </w:tc>
        <w:tc>
          <w:tcPr>
            <w:tcW w:w="3475" w:type="dxa"/>
            <w:tcBorders>
              <w:top w:val="single" w:color="000000" w:sz="4" w:space="0"/>
              <w:left w:val="single" w:color="000000" w:sz="4" w:space="0"/>
              <w:bottom w:val="single" w:color="000000" w:sz="4" w:space="0"/>
              <w:right w:val="single" w:color="000000" w:sz="4" w:space="0"/>
            </w:tcBorders>
          </w:tcPr>
          <w:p w14:paraId="039E6459">
            <w:pPr>
              <w:spacing w:after="0" w:line="259" w:lineRule="auto"/>
              <w:ind w:left="82" w:firstLine="0"/>
              <w:jc w:val="left"/>
            </w:pPr>
            <w:r>
              <w:t xml:space="preserve">Maximum fee: Up to RSD 5,000.00. </w:t>
            </w:r>
          </w:p>
        </w:tc>
      </w:tr>
      <w:tr w14:paraId="170049DE">
        <w:tblPrEx>
          <w:tblCellMar>
            <w:top w:w="49" w:type="dxa"/>
            <w:left w:w="142" w:type="dxa"/>
            <w:bottom w:w="0" w:type="dxa"/>
            <w:right w:w="58" w:type="dxa"/>
          </w:tblCellMar>
        </w:tblPrEx>
        <w:trPr>
          <w:trHeight w:val="634" w:hRule="atLeast"/>
        </w:trPr>
        <w:tc>
          <w:tcPr>
            <w:tcW w:w="1275" w:type="dxa"/>
            <w:tcBorders>
              <w:top w:val="single" w:color="000000" w:sz="4" w:space="0"/>
              <w:left w:val="single" w:color="000000" w:sz="4" w:space="0"/>
              <w:bottom w:val="single" w:color="000000" w:sz="4" w:space="0"/>
              <w:right w:val="single" w:color="000000" w:sz="4" w:space="0"/>
            </w:tcBorders>
          </w:tcPr>
          <w:p w14:paraId="335E68ED">
            <w:pPr>
              <w:spacing w:after="0" w:line="259" w:lineRule="auto"/>
              <w:ind w:left="0" w:firstLine="0"/>
              <w:jc w:val="left"/>
            </w:pPr>
            <w:r>
              <w:t xml:space="preserve">54. </w:t>
            </w:r>
          </w:p>
        </w:tc>
        <w:tc>
          <w:tcPr>
            <w:tcW w:w="4977" w:type="dxa"/>
            <w:tcBorders>
              <w:top w:val="single" w:color="000000" w:sz="4" w:space="0"/>
              <w:left w:val="single" w:color="000000" w:sz="4" w:space="0"/>
              <w:bottom w:val="single" w:color="000000" w:sz="4" w:space="0"/>
              <w:right w:val="single" w:color="000000" w:sz="4" w:space="0"/>
            </w:tcBorders>
          </w:tcPr>
          <w:p w14:paraId="47EC130E">
            <w:pPr>
              <w:spacing w:after="0" w:line="259" w:lineRule="auto"/>
              <w:ind w:left="26" w:firstLine="0"/>
            </w:pPr>
            <w:r>
              <w:t xml:space="preserve">Fee for opening an ownership account for financial instruments (corporate customers) </w:t>
            </w:r>
          </w:p>
        </w:tc>
        <w:tc>
          <w:tcPr>
            <w:tcW w:w="3475" w:type="dxa"/>
            <w:tcBorders>
              <w:top w:val="single" w:color="000000" w:sz="4" w:space="0"/>
              <w:left w:val="single" w:color="000000" w:sz="4" w:space="0"/>
              <w:bottom w:val="single" w:color="000000" w:sz="4" w:space="0"/>
              <w:right w:val="single" w:color="000000" w:sz="4" w:space="0"/>
            </w:tcBorders>
          </w:tcPr>
          <w:p w14:paraId="46A3DA73">
            <w:pPr>
              <w:spacing w:after="0" w:line="259" w:lineRule="auto"/>
              <w:ind w:left="82" w:firstLine="0"/>
              <w:jc w:val="left"/>
            </w:pPr>
            <w:r>
              <w:t xml:space="preserve">Maximum fee: Up to RSD 20,000.00. </w:t>
            </w:r>
          </w:p>
        </w:tc>
      </w:tr>
      <w:tr w14:paraId="5DF8A143">
        <w:tblPrEx>
          <w:tblCellMar>
            <w:top w:w="49" w:type="dxa"/>
            <w:left w:w="142" w:type="dxa"/>
            <w:bottom w:w="0" w:type="dxa"/>
            <w:right w:w="58" w:type="dxa"/>
          </w:tblCellMar>
        </w:tblPrEx>
        <w:trPr>
          <w:trHeight w:val="636" w:hRule="atLeast"/>
        </w:trPr>
        <w:tc>
          <w:tcPr>
            <w:tcW w:w="1275" w:type="dxa"/>
            <w:tcBorders>
              <w:top w:val="single" w:color="000000" w:sz="4" w:space="0"/>
              <w:left w:val="single" w:color="000000" w:sz="4" w:space="0"/>
              <w:bottom w:val="single" w:color="000000" w:sz="4" w:space="0"/>
              <w:right w:val="single" w:color="000000" w:sz="4" w:space="0"/>
            </w:tcBorders>
          </w:tcPr>
          <w:p w14:paraId="011E8632">
            <w:pPr>
              <w:spacing w:after="0" w:line="259" w:lineRule="auto"/>
              <w:ind w:left="0" w:firstLine="0"/>
              <w:jc w:val="left"/>
            </w:pPr>
            <w:r>
              <w:t xml:space="preserve">55. </w:t>
            </w:r>
          </w:p>
        </w:tc>
        <w:tc>
          <w:tcPr>
            <w:tcW w:w="4977" w:type="dxa"/>
            <w:tcBorders>
              <w:top w:val="single" w:color="000000" w:sz="4" w:space="0"/>
              <w:left w:val="single" w:color="000000" w:sz="4" w:space="0"/>
              <w:bottom w:val="single" w:color="000000" w:sz="4" w:space="0"/>
              <w:right w:val="single" w:color="000000" w:sz="4" w:space="0"/>
            </w:tcBorders>
          </w:tcPr>
          <w:p w14:paraId="0B0ED6A7">
            <w:pPr>
              <w:spacing w:after="0" w:line="259" w:lineRule="auto"/>
              <w:ind w:left="26" w:firstLine="0"/>
            </w:pPr>
            <w:r>
              <w:t xml:space="preserve">Fee for opening a collective account for financial instruments (individual customers) </w:t>
            </w:r>
          </w:p>
        </w:tc>
        <w:tc>
          <w:tcPr>
            <w:tcW w:w="3475" w:type="dxa"/>
            <w:tcBorders>
              <w:top w:val="single" w:color="000000" w:sz="4" w:space="0"/>
              <w:left w:val="single" w:color="000000" w:sz="4" w:space="0"/>
              <w:bottom w:val="single" w:color="000000" w:sz="4" w:space="0"/>
              <w:right w:val="single" w:color="000000" w:sz="4" w:space="0"/>
            </w:tcBorders>
          </w:tcPr>
          <w:p w14:paraId="534D77C5">
            <w:pPr>
              <w:spacing w:after="0" w:line="259" w:lineRule="auto"/>
              <w:ind w:left="82" w:firstLine="0"/>
              <w:jc w:val="left"/>
            </w:pPr>
            <w:r>
              <w:t xml:space="preserve">Maximum fee: Up to RSD 30,000.00. </w:t>
            </w:r>
          </w:p>
        </w:tc>
      </w:tr>
      <w:tr w14:paraId="3F8D57F8">
        <w:tblPrEx>
          <w:tblCellMar>
            <w:top w:w="49" w:type="dxa"/>
            <w:left w:w="142" w:type="dxa"/>
            <w:bottom w:w="0" w:type="dxa"/>
            <w:right w:w="58" w:type="dxa"/>
          </w:tblCellMar>
        </w:tblPrEx>
        <w:trPr>
          <w:trHeight w:val="634" w:hRule="atLeast"/>
        </w:trPr>
        <w:tc>
          <w:tcPr>
            <w:tcW w:w="1275" w:type="dxa"/>
            <w:tcBorders>
              <w:top w:val="single" w:color="000000" w:sz="4" w:space="0"/>
              <w:left w:val="single" w:color="000000" w:sz="4" w:space="0"/>
              <w:bottom w:val="single" w:color="000000" w:sz="4" w:space="0"/>
              <w:right w:val="single" w:color="000000" w:sz="4" w:space="0"/>
            </w:tcBorders>
          </w:tcPr>
          <w:p w14:paraId="264F5DA9">
            <w:pPr>
              <w:spacing w:after="0" w:line="259" w:lineRule="auto"/>
              <w:ind w:left="0" w:firstLine="0"/>
              <w:jc w:val="left"/>
            </w:pPr>
            <w:r>
              <w:t xml:space="preserve">56 </w:t>
            </w:r>
          </w:p>
        </w:tc>
        <w:tc>
          <w:tcPr>
            <w:tcW w:w="4977" w:type="dxa"/>
            <w:tcBorders>
              <w:top w:val="single" w:color="000000" w:sz="4" w:space="0"/>
              <w:left w:val="single" w:color="000000" w:sz="4" w:space="0"/>
              <w:bottom w:val="single" w:color="000000" w:sz="4" w:space="0"/>
              <w:right w:val="single" w:color="000000" w:sz="4" w:space="0"/>
            </w:tcBorders>
          </w:tcPr>
          <w:p w14:paraId="4DC8D976">
            <w:pPr>
              <w:spacing w:after="0" w:line="259" w:lineRule="auto"/>
              <w:ind w:left="26" w:firstLine="0"/>
            </w:pPr>
            <w:r>
              <w:t xml:space="preserve">Fee for opening a collective account for financial instruments (corporate customers) </w:t>
            </w:r>
          </w:p>
        </w:tc>
        <w:tc>
          <w:tcPr>
            <w:tcW w:w="3475" w:type="dxa"/>
            <w:tcBorders>
              <w:top w:val="single" w:color="000000" w:sz="4" w:space="0"/>
              <w:left w:val="single" w:color="000000" w:sz="4" w:space="0"/>
              <w:bottom w:val="single" w:color="000000" w:sz="4" w:space="0"/>
              <w:right w:val="single" w:color="000000" w:sz="4" w:space="0"/>
            </w:tcBorders>
          </w:tcPr>
          <w:p w14:paraId="2D4B5F22">
            <w:pPr>
              <w:spacing w:after="0" w:line="259" w:lineRule="auto"/>
              <w:ind w:left="82" w:firstLine="0"/>
              <w:jc w:val="left"/>
            </w:pPr>
            <w:r>
              <w:t xml:space="preserve">Maximum fee: Up to RSD 50,000.00. </w:t>
            </w:r>
          </w:p>
        </w:tc>
      </w:tr>
      <w:tr w14:paraId="2A8F98CC">
        <w:tblPrEx>
          <w:tblCellMar>
            <w:top w:w="49" w:type="dxa"/>
            <w:left w:w="142" w:type="dxa"/>
            <w:bottom w:w="0" w:type="dxa"/>
            <w:right w:w="58" w:type="dxa"/>
          </w:tblCellMar>
        </w:tblPrEx>
        <w:trPr>
          <w:trHeight w:val="636" w:hRule="atLeast"/>
        </w:trPr>
        <w:tc>
          <w:tcPr>
            <w:tcW w:w="1275" w:type="dxa"/>
            <w:tcBorders>
              <w:top w:val="single" w:color="000000" w:sz="4" w:space="0"/>
              <w:left w:val="single" w:color="000000" w:sz="4" w:space="0"/>
              <w:bottom w:val="single" w:color="000000" w:sz="4" w:space="0"/>
              <w:right w:val="single" w:color="000000" w:sz="4" w:space="0"/>
            </w:tcBorders>
          </w:tcPr>
          <w:p w14:paraId="2C749CE9">
            <w:pPr>
              <w:spacing w:after="0" w:line="259" w:lineRule="auto"/>
              <w:ind w:left="0" w:firstLine="0"/>
              <w:jc w:val="left"/>
            </w:pPr>
            <w:r>
              <w:t xml:space="preserve">57. </w:t>
            </w:r>
          </w:p>
        </w:tc>
        <w:tc>
          <w:tcPr>
            <w:tcW w:w="4977" w:type="dxa"/>
            <w:tcBorders>
              <w:top w:val="single" w:color="000000" w:sz="4" w:space="0"/>
              <w:left w:val="single" w:color="000000" w:sz="4" w:space="0"/>
              <w:bottom w:val="single" w:color="000000" w:sz="4" w:space="0"/>
              <w:right w:val="single" w:color="000000" w:sz="4" w:space="0"/>
            </w:tcBorders>
          </w:tcPr>
          <w:p w14:paraId="10B46BFE">
            <w:pPr>
              <w:spacing w:after="0" w:line="259" w:lineRule="auto"/>
              <w:ind w:left="26" w:firstLine="0"/>
              <w:jc w:val="left"/>
            </w:pPr>
            <w:r>
              <w:t>Fee for opening a securities deposit account</w:t>
            </w:r>
          </w:p>
        </w:tc>
        <w:tc>
          <w:tcPr>
            <w:tcW w:w="3475" w:type="dxa"/>
            <w:tcBorders>
              <w:top w:val="single" w:color="000000" w:sz="4" w:space="0"/>
              <w:left w:val="single" w:color="000000" w:sz="4" w:space="0"/>
              <w:bottom w:val="single" w:color="000000" w:sz="4" w:space="0"/>
              <w:right w:val="single" w:color="000000" w:sz="4" w:space="0"/>
            </w:tcBorders>
          </w:tcPr>
          <w:p w14:paraId="749F9E7A">
            <w:pPr>
              <w:spacing w:after="0" w:line="259" w:lineRule="auto"/>
              <w:ind w:left="82" w:firstLine="0"/>
              <w:jc w:val="left"/>
            </w:pPr>
            <w:r>
              <w:t xml:space="preserve">Maximum fee: Up to RSD 100,000.00. </w:t>
            </w:r>
          </w:p>
        </w:tc>
      </w:tr>
      <w:tr w14:paraId="53B20B4A">
        <w:tblPrEx>
          <w:tblCellMar>
            <w:top w:w="49" w:type="dxa"/>
            <w:left w:w="142" w:type="dxa"/>
            <w:bottom w:w="0" w:type="dxa"/>
            <w:right w:w="58" w:type="dxa"/>
          </w:tblCellMar>
        </w:tblPrEx>
        <w:trPr>
          <w:trHeight w:val="634" w:hRule="atLeast"/>
        </w:trPr>
        <w:tc>
          <w:tcPr>
            <w:tcW w:w="1275" w:type="dxa"/>
            <w:tcBorders>
              <w:top w:val="single" w:color="000000" w:sz="4" w:space="0"/>
              <w:left w:val="single" w:color="000000" w:sz="4" w:space="0"/>
              <w:bottom w:val="single" w:color="000000" w:sz="4" w:space="0"/>
              <w:right w:val="single" w:color="000000" w:sz="4" w:space="0"/>
            </w:tcBorders>
          </w:tcPr>
          <w:p w14:paraId="61E581EE">
            <w:pPr>
              <w:spacing w:after="0" w:line="259" w:lineRule="auto"/>
              <w:ind w:left="0" w:firstLine="0"/>
              <w:jc w:val="left"/>
            </w:pPr>
            <w:r>
              <w:t xml:space="preserve">58. </w:t>
            </w:r>
          </w:p>
        </w:tc>
        <w:tc>
          <w:tcPr>
            <w:tcW w:w="4977" w:type="dxa"/>
            <w:tcBorders>
              <w:top w:val="single" w:color="000000" w:sz="4" w:space="0"/>
              <w:left w:val="single" w:color="000000" w:sz="4" w:space="0"/>
              <w:bottom w:val="single" w:color="000000" w:sz="4" w:space="0"/>
              <w:right w:val="single" w:color="000000" w:sz="4" w:space="0"/>
            </w:tcBorders>
          </w:tcPr>
          <w:p w14:paraId="3CB66DAA">
            <w:pPr>
              <w:spacing w:after="0" w:line="259" w:lineRule="auto"/>
              <w:ind w:left="26" w:firstLine="0"/>
            </w:pPr>
            <w:r>
              <w:t xml:space="preserve">Fee for opening a co-ownership account for financial instruments (individual customers) </w:t>
            </w:r>
          </w:p>
        </w:tc>
        <w:tc>
          <w:tcPr>
            <w:tcW w:w="3475" w:type="dxa"/>
            <w:tcBorders>
              <w:top w:val="single" w:color="000000" w:sz="4" w:space="0"/>
              <w:left w:val="single" w:color="000000" w:sz="4" w:space="0"/>
              <w:bottom w:val="single" w:color="000000" w:sz="4" w:space="0"/>
              <w:right w:val="single" w:color="000000" w:sz="4" w:space="0"/>
            </w:tcBorders>
          </w:tcPr>
          <w:p w14:paraId="3D99E34E">
            <w:pPr>
              <w:spacing w:after="0" w:line="259" w:lineRule="auto"/>
              <w:ind w:left="82" w:firstLine="0"/>
              <w:jc w:val="left"/>
            </w:pPr>
            <w:r>
              <w:t xml:space="preserve">Maximum fee: Up to RSD 25,000.00. </w:t>
            </w:r>
          </w:p>
        </w:tc>
      </w:tr>
      <w:tr w14:paraId="0611F241">
        <w:tblPrEx>
          <w:tblCellMar>
            <w:top w:w="49" w:type="dxa"/>
            <w:left w:w="142" w:type="dxa"/>
            <w:bottom w:w="0" w:type="dxa"/>
            <w:right w:w="58" w:type="dxa"/>
          </w:tblCellMar>
        </w:tblPrEx>
        <w:trPr>
          <w:trHeight w:val="636" w:hRule="atLeast"/>
        </w:trPr>
        <w:tc>
          <w:tcPr>
            <w:tcW w:w="1275" w:type="dxa"/>
            <w:tcBorders>
              <w:top w:val="single" w:color="000000" w:sz="4" w:space="0"/>
              <w:left w:val="single" w:color="000000" w:sz="4" w:space="0"/>
              <w:bottom w:val="single" w:color="000000" w:sz="4" w:space="0"/>
              <w:right w:val="single" w:color="000000" w:sz="4" w:space="0"/>
            </w:tcBorders>
          </w:tcPr>
          <w:p w14:paraId="7067FB8F">
            <w:pPr>
              <w:spacing w:after="0" w:line="259" w:lineRule="auto"/>
              <w:ind w:left="0" w:firstLine="0"/>
              <w:jc w:val="left"/>
            </w:pPr>
            <w:r>
              <w:t xml:space="preserve">59. </w:t>
            </w:r>
          </w:p>
        </w:tc>
        <w:tc>
          <w:tcPr>
            <w:tcW w:w="4977" w:type="dxa"/>
            <w:tcBorders>
              <w:top w:val="single" w:color="000000" w:sz="4" w:space="0"/>
              <w:left w:val="single" w:color="000000" w:sz="4" w:space="0"/>
              <w:bottom w:val="single" w:color="000000" w:sz="4" w:space="0"/>
              <w:right w:val="single" w:color="000000" w:sz="4" w:space="0"/>
            </w:tcBorders>
          </w:tcPr>
          <w:p w14:paraId="602A8972">
            <w:pPr>
              <w:spacing w:after="0" w:line="259" w:lineRule="auto"/>
              <w:ind w:left="26" w:firstLine="0"/>
            </w:pPr>
            <w:r>
              <w:t xml:space="preserve">Fee for opening a co-ownership account for financial instruments (corporate customers) </w:t>
            </w:r>
          </w:p>
        </w:tc>
        <w:tc>
          <w:tcPr>
            <w:tcW w:w="3475" w:type="dxa"/>
            <w:tcBorders>
              <w:top w:val="single" w:color="000000" w:sz="4" w:space="0"/>
              <w:left w:val="single" w:color="000000" w:sz="4" w:space="0"/>
              <w:bottom w:val="single" w:color="000000" w:sz="4" w:space="0"/>
              <w:right w:val="single" w:color="000000" w:sz="4" w:space="0"/>
            </w:tcBorders>
          </w:tcPr>
          <w:p w14:paraId="5AE7B4DA">
            <w:pPr>
              <w:spacing w:after="0" w:line="259" w:lineRule="auto"/>
              <w:ind w:left="82" w:firstLine="0"/>
              <w:jc w:val="left"/>
            </w:pPr>
            <w:r>
              <w:t xml:space="preserve">Maximum fee: Up to RSD 50,000.00. </w:t>
            </w:r>
          </w:p>
        </w:tc>
      </w:tr>
    </w:tbl>
    <w:p w14:paraId="79876008">
      <w:pPr>
        <w:spacing w:after="0" w:line="259" w:lineRule="auto"/>
        <w:ind w:left="0" w:firstLine="0"/>
        <w:jc w:val="left"/>
      </w:pPr>
      <w:r>
        <w:t xml:space="preserve"> </w:t>
      </w:r>
    </w:p>
    <w:p w14:paraId="597C0A7E">
      <w:pPr>
        <w:pStyle w:val="4"/>
        <w:spacing w:after="0"/>
        <w:ind w:left="-5"/>
      </w:pPr>
      <w:r>
        <w:t xml:space="preserve">XI  Administration of Cash accounts and Financial Instrument Accounts   </w:t>
      </w:r>
    </w:p>
    <w:tbl>
      <w:tblPr>
        <w:tblStyle w:val="10"/>
        <w:tblW w:w="9779" w:type="dxa"/>
        <w:tblInd w:w="2" w:type="dxa"/>
        <w:tblLayout w:type="autofit"/>
        <w:tblCellMar>
          <w:top w:w="49" w:type="dxa"/>
          <w:left w:w="106" w:type="dxa"/>
          <w:bottom w:w="0" w:type="dxa"/>
          <w:right w:w="58" w:type="dxa"/>
        </w:tblCellMar>
      </w:tblPr>
      <w:tblGrid>
        <w:gridCol w:w="845"/>
        <w:gridCol w:w="3690"/>
        <w:gridCol w:w="5244"/>
      </w:tblGrid>
      <w:tr w14:paraId="19F7BE1C">
        <w:tblPrEx>
          <w:tblCellMar>
            <w:top w:w="49" w:type="dxa"/>
            <w:left w:w="106" w:type="dxa"/>
            <w:bottom w:w="0" w:type="dxa"/>
            <w:right w:w="58" w:type="dxa"/>
          </w:tblCellMar>
        </w:tblPrEx>
        <w:trPr>
          <w:trHeight w:val="8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F2F2F2"/>
          </w:tcPr>
          <w:p w14:paraId="06AB59B8">
            <w:pPr>
              <w:spacing w:after="0" w:line="259" w:lineRule="auto"/>
              <w:ind w:left="0" w:firstLine="0"/>
              <w:jc w:val="left"/>
            </w:pPr>
            <w:r>
              <w:rPr>
                <w:b/>
              </w:rPr>
              <w:t>No.</w:t>
            </w:r>
          </w:p>
        </w:tc>
        <w:tc>
          <w:tcPr>
            <w:tcW w:w="3690" w:type="dxa"/>
            <w:tcBorders>
              <w:top w:val="single" w:color="000000" w:sz="4" w:space="0"/>
              <w:left w:val="single" w:color="000000" w:sz="4" w:space="0"/>
              <w:bottom w:val="single" w:color="000000" w:sz="4" w:space="0"/>
              <w:right w:val="single" w:color="000000" w:sz="4" w:space="0"/>
            </w:tcBorders>
            <w:shd w:val="clear" w:color="auto" w:fill="F2F2F2"/>
          </w:tcPr>
          <w:p w14:paraId="318F6D33">
            <w:pPr>
              <w:spacing w:after="0" w:line="259" w:lineRule="auto"/>
              <w:ind w:left="2" w:firstLine="0"/>
              <w:jc w:val="left"/>
            </w:pPr>
            <w:r>
              <w:rPr>
                <w:b/>
              </w:rPr>
              <w:t xml:space="preserve">ADMINISTRATION OF CASH ACCOUNTS AND FINANCIAL INSTRUMENT ACCOUNTS </w:t>
            </w:r>
          </w:p>
        </w:tc>
        <w:tc>
          <w:tcPr>
            <w:tcW w:w="5243" w:type="dxa"/>
            <w:tcBorders>
              <w:top w:val="single" w:color="000000" w:sz="4" w:space="0"/>
              <w:left w:val="single" w:color="000000" w:sz="4" w:space="0"/>
              <w:bottom w:val="single" w:color="000000" w:sz="4" w:space="0"/>
              <w:right w:val="single" w:color="000000" w:sz="4" w:space="0"/>
            </w:tcBorders>
            <w:shd w:val="clear" w:color="auto" w:fill="F2F2F2"/>
          </w:tcPr>
          <w:p w14:paraId="665D078E">
            <w:pPr>
              <w:spacing w:after="0" w:line="259" w:lineRule="auto"/>
              <w:ind w:left="1" w:firstLine="0"/>
              <w:jc w:val="left"/>
            </w:pPr>
            <w:r>
              <w:rPr>
                <w:b/>
              </w:rPr>
              <w:t>Commission, fee</w:t>
            </w:r>
            <w:r>
              <w:t xml:space="preserve"> </w:t>
            </w:r>
          </w:p>
        </w:tc>
      </w:tr>
      <w:tr w14:paraId="5C500BA3">
        <w:tblPrEx>
          <w:tblCellMar>
            <w:top w:w="49" w:type="dxa"/>
            <w:left w:w="106" w:type="dxa"/>
            <w:bottom w:w="0" w:type="dxa"/>
            <w:right w:w="58" w:type="dxa"/>
          </w:tblCellMar>
        </w:tblPrEx>
        <w:trPr>
          <w:trHeight w:val="889" w:hRule="atLeast"/>
        </w:trPr>
        <w:tc>
          <w:tcPr>
            <w:tcW w:w="845" w:type="dxa"/>
            <w:tcBorders>
              <w:top w:val="single" w:color="000000" w:sz="4" w:space="0"/>
              <w:left w:val="single" w:color="000000" w:sz="4" w:space="0"/>
              <w:bottom w:val="single" w:color="000000" w:sz="4" w:space="0"/>
              <w:right w:val="single" w:color="000000" w:sz="4" w:space="0"/>
            </w:tcBorders>
          </w:tcPr>
          <w:p w14:paraId="504504BF">
            <w:pPr>
              <w:spacing w:after="0" w:line="259" w:lineRule="auto"/>
              <w:ind w:left="0" w:firstLine="0"/>
              <w:jc w:val="left"/>
            </w:pPr>
            <w:r>
              <w:t xml:space="preserve">60. </w:t>
            </w:r>
          </w:p>
        </w:tc>
        <w:tc>
          <w:tcPr>
            <w:tcW w:w="3690" w:type="dxa"/>
            <w:tcBorders>
              <w:top w:val="single" w:color="000000" w:sz="4" w:space="0"/>
              <w:left w:val="single" w:color="000000" w:sz="4" w:space="0"/>
              <w:bottom w:val="single" w:color="000000" w:sz="4" w:space="0"/>
              <w:right w:val="single" w:color="000000" w:sz="4" w:space="0"/>
            </w:tcBorders>
          </w:tcPr>
          <w:p w14:paraId="1AE9B196">
            <w:pPr>
              <w:spacing w:after="0" w:line="238" w:lineRule="auto"/>
              <w:ind w:left="2" w:firstLine="0"/>
            </w:pPr>
            <w:r>
              <w:t xml:space="preserve">Calculation and balancing of monetary transactions (DvP, RvP) with payment on an exchange and outside a formal exchange (OTC) </w:t>
            </w:r>
          </w:p>
        </w:tc>
        <w:tc>
          <w:tcPr>
            <w:tcW w:w="5243" w:type="dxa"/>
            <w:tcBorders>
              <w:top w:val="single" w:color="000000" w:sz="4" w:space="0"/>
              <w:left w:val="single" w:color="000000" w:sz="4" w:space="0"/>
              <w:bottom w:val="single" w:color="000000" w:sz="4" w:space="0"/>
              <w:right w:val="single" w:color="000000" w:sz="4" w:space="0"/>
            </w:tcBorders>
          </w:tcPr>
          <w:p w14:paraId="124E79C6">
            <w:pPr>
              <w:spacing w:after="98" w:line="259" w:lineRule="auto"/>
              <w:ind w:left="1" w:firstLine="0"/>
              <w:jc w:val="left"/>
            </w:pPr>
            <w:r>
              <w:t xml:space="preserve">Domestic market: 0.20% of the transaction amount </w:t>
            </w:r>
          </w:p>
          <w:p w14:paraId="67A266D6">
            <w:pPr>
              <w:spacing w:after="0" w:line="259" w:lineRule="auto"/>
              <w:ind w:left="1" w:firstLine="0"/>
              <w:jc w:val="left"/>
            </w:pPr>
            <w:r>
              <w:t xml:space="preserve">Foreign markets: 0.30% of the transaction amount, min. EUR 20 </w:t>
            </w:r>
          </w:p>
        </w:tc>
      </w:tr>
      <w:tr w14:paraId="2F3A6C66">
        <w:tblPrEx>
          <w:tblCellMar>
            <w:top w:w="49" w:type="dxa"/>
            <w:left w:w="106" w:type="dxa"/>
            <w:bottom w:w="0" w:type="dxa"/>
            <w:right w:w="58" w:type="dxa"/>
          </w:tblCellMar>
        </w:tblPrEx>
        <w:trPr>
          <w:trHeight w:val="888" w:hRule="atLeast"/>
        </w:trPr>
        <w:tc>
          <w:tcPr>
            <w:tcW w:w="845" w:type="dxa"/>
            <w:tcBorders>
              <w:top w:val="single" w:color="000000" w:sz="4" w:space="0"/>
              <w:left w:val="single" w:color="000000" w:sz="4" w:space="0"/>
              <w:bottom w:val="single" w:color="000000" w:sz="4" w:space="0"/>
              <w:right w:val="single" w:color="000000" w:sz="4" w:space="0"/>
            </w:tcBorders>
          </w:tcPr>
          <w:p w14:paraId="05DB5BA3">
            <w:pPr>
              <w:spacing w:after="0" w:line="259" w:lineRule="auto"/>
              <w:ind w:left="0" w:firstLine="0"/>
              <w:jc w:val="left"/>
            </w:pPr>
            <w:r>
              <w:t xml:space="preserve">61. </w:t>
            </w:r>
          </w:p>
        </w:tc>
        <w:tc>
          <w:tcPr>
            <w:tcW w:w="3690" w:type="dxa"/>
            <w:tcBorders>
              <w:top w:val="single" w:color="000000" w:sz="4" w:space="0"/>
              <w:left w:val="single" w:color="000000" w:sz="4" w:space="0"/>
              <w:bottom w:val="single" w:color="000000" w:sz="4" w:space="0"/>
              <w:right w:val="single" w:color="000000" w:sz="4" w:space="0"/>
            </w:tcBorders>
          </w:tcPr>
          <w:p w14:paraId="4B573383">
            <w:pPr>
              <w:spacing w:after="0" w:line="259" w:lineRule="auto"/>
              <w:ind w:left="2" w:right="51" w:firstLine="0"/>
            </w:pPr>
            <w:r>
              <w:t xml:space="preserve">Revenue collection (interest, coupons, dividends…) and costs of financial instruments (ADR/GDR expenses etc.…) </w:t>
            </w:r>
          </w:p>
        </w:tc>
        <w:tc>
          <w:tcPr>
            <w:tcW w:w="5243" w:type="dxa"/>
            <w:tcBorders>
              <w:top w:val="single" w:color="000000" w:sz="4" w:space="0"/>
              <w:left w:val="single" w:color="000000" w:sz="4" w:space="0"/>
              <w:bottom w:val="single" w:color="000000" w:sz="4" w:space="0"/>
              <w:right w:val="single" w:color="000000" w:sz="4" w:space="0"/>
            </w:tcBorders>
          </w:tcPr>
          <w:p w14:paraId="6B600460">
            <w:pPr>
              <w:spacing w:after="100" w:line="259" w:lineRule="auto"/>
              <w:ind w:left="1" w:firstLine="0"/>
              <w:jc w:val="left"/>
            </w:pPr>
            <w:r>
              <w:t xml:space="preserve">Domestic market: Up to 0.3% of the revenue amount </w:t>
            </w:r>
          </w:p>
          <w:p w14:paraId="5D94C445">
            <w:pPr>
              <w:spacing w:after="0" w:line="259" w:lineRule="auto"/>
              <w:ind w:left="1" w:firstLine="0"/>
              <w:jc w:val="left"/>
            </w:pPr>
            <w:r>
              <w:t xml:space="preserve">Foreign market: Up to 0.3% of the revenue amount </w:t>
            </w:r>
          </w:p>
        </w:tc>
      </w:tr>
      <w:tr w14:paraId="6F3BC48D">
        <w:tblPrEx>
          <w:tblCellMar>
            <w:top w:w="49" w:type="dxa"/>
            <w:left w:w="106" w:type="dxa"/>
            <w:bottom w:w="0" w:type="dxa"/>
            <w:right w:w="58" w:type="dxa"/>
          </w:tblCellMar>
        </w:tblPrEx>
        <w:trPr>
          <w:trHeight w:val="2631" w:hRule="atLeast"/>
        </w:trPr>
        <w:tc>
          <w:tcPr>
            <w:tcW w:w="845" w:type="dxa"/>
            <w:tcBorders>
              <w:top w:val="single" w:color="000000" w:sz="4" w:space="0"/>
              <w:left w:val="single" w:color="000000" w:sz="4" w:space="0"/>
              <w:bottom w:val="single" w:color="000000" w:sz="4" w:space="0"/>
              <w:right w:val="single" w:color="000000" w:sz="4" w:space="0"/>
            </w:tcBorders>
          </w:tcPr>
          <w:p w14:paraId="6F5D5D05">
            <w:pPr>
              <w:spacing w:after="0" w:line="259" w:lineRule="auto"/>
              <w:ind w:left="0" w:firstLine="0"/>
              <w:jc w:val="left"/>
            </w:pPr>
            <w:r>
              <w:t xml:space="preserve">62. </w:t>
            </w:r>
          </w:p>
        </w:tc>
        <w:tc>
          <w:tcPr>
            <w:tcW w:w="3690" w:type="dxa"/>
            <w:tcBorders>
              <w:top w:val="single" w:color="000000" w:sz="4" w:space="0"/>
              <w:left w:val="single" w:color="000000" w:sz="4" w:space="0"/>
              <w:bottom w:val="single" w:color="000000" w:sz="4" w:space="0"/>
              <w:right w:val="single" w:color="000000" w:sz="4" w:space="0"/>
            </w:tcBorders>
          </w:tcPr>
          <w:p w14:paraId="362DC87C">
            <w:pPr>
              <w:spacing w:after="0" w:line="238" w:lineRule="auto"/>
              <w:ind w:left="2" w:firstLine="0"/>
            </w:pPr>
            <w:r>
              <w:t xml:space="preserve">Transfer of financial instruments from an account with the Bank to an account with another member of the Central Securities Registry, for the same owner, change of depositary </w:t>
            </w:r>
          </w:p>
          <w:p w14:paraId="157108F4">
            <w:pPr>
              <w:spacing w:after="98" w:line="259" w:lineRule="auto"/>
              <w:ind w:left="2" w:firstLine="0"/>
              <w:jc w:val="left"/>
            </w:pPr>
            <w:r>
              <w:t xml:space="preserve"> </w:t>
            </w:r>
          </w:p>
          <w:p w14:paraId="2C712C31">
            <w:pPr>
              <w:spacing w:after="98" w:line="259" w:lineRule="auto"/>
              <w:ind w:left="2" w:firstLine="0"/>
              <w:jc w:val="left"/>
            </w:pPr>
            <w:r>
              <w:t xml:space="preserve"> </w:t>
            </w:r>
          </w:p>
          <w:p w14:paraId="0CB92C72">
            <w:pPr>
              <w:spacing w:after="98" w:line="259" w:lineRule="auto"/>
              <w:ind w:left="2" w:firstLine="0"/>
              <w:jc w:val="left"/>
            </w:pPr>
            <w:r>
              <w:t xml:space="preserve"> </w:t>
            </w:r>
          </w:p>
          <w:p w14:paraId="36EAC052">
            <w:pPr>
              <w:spacing w:after="0" w:line="259" w:lineRule="auto"/>
              <w:ind w:left="2" w:firstLine="0"/>
              <w:jc w:val="left"/>
            </w:pPr>
            <w:r>
              <w:t xml:space="preserve"> </w:t>
            </w:r>
          </w:p>
        </w:tc>
        <w:tc>
          <w:tcPr>
            <w:tcW w:w="5243" w:type="dxa"/>
            <w:tcBorders>
              <w:top w:val="single" w:color="000000" w:sz="4" w:space="0"/>
              <w:left w:val="single" w:color="000000" w:sz="4" w:space="0"/>
              <w:bottom w:val="single" w:color="000000" w:sz="4" w:space="0"/>
              <w:right w:val="single" w:color="000000" w:sz="4" w:space="0"/>
            </w:tcBorders>
          </w:tcPr>
          <w:p w14:paraId="66E0D863">
            <w:pPr>
              <w:spacing w:after="98" w:line="259" w:lineRule="auto"/>
              <w:ind w:left="1" w:firstLine="0"/>
              <w:jc w:val="left"/>
            </w:pPr>
            <w:r>
              <w:t xml:space="preserve">Domestic market: </w:t>
            </w:r>
          </w:p>
          <w:p w14:paraId="5ADA3C8F">
            <w:pPr>
              <w:spacing w:after="98" w:line="259" w:lineRule="auto"/>
              <w:ind w:left="1" w:firstLine="0"/>
              <w:jc w:val="left"/>
            </w:pPr>
            <w:r>
              <w:t xml:space="preserve">Individual customers: </w:t>
            </w:r>
          </w:p>
          <w:p w14:paraId="015217B0">
            <w:pPr>
              <w:spacing w:after="118" w:line="240" w:lineRule="auto"/>
              <w:ind w:left="1" w:firstLine="0"/>
              <w:jc w:val="left"/>
            </w:pPr>
            <w:r>
              <w:t xml:space="preserve">Up to 2% of market value, but not less than RSD 10,000.00 per financial instrument.  </w:t>
            </w:r>
          </w:p>
          <w:p w14:paraId="45637754">
            <w:pPr>
              <w:spacing w:after="98" w:line="259" w:lineRule="auto"/>
              <w:ind w:left="1" w:firstLine="0"/>
              <w:jc w:val="left"/>
            </w:pPr>
            <w:r>
              <w:t xml:space="preserve">Corporate customers:  </w:t>
            </w:r>
          </w:p>
          <w:p w14:paraId="13E5BACB">
            <w:pPr>
              <w:spacing w:after="0" w:line="259" w:lineRule="auto"/>
              <w:ind w:left="1" w:firstLine="0"/>
            </w:pPr>
            <w:r>
              <w:t xml:space="preserve">Up to 2% of market value, but not less than RSD 30,000.00 per financial instrument. </w:t>
            </w:r>
          </w:p>
        </w:tc>
      </w:tr>
      <w:tr w14:paraId="4C34C82A">
        <w:tblPrEx>
          <w:tblCellMar>
            <w:top w:w="49" w:type="dxa"/>
            <w:left w:w="106" w:type="dxa"/>
            <w:bottom w:w="0" w:type="dxa"/>
            <w:right w:w="58" w:type="dxa"/>
          </w:tblCellMar>
        </w:tblPrEx>
        <w:trPr>
          <w:trHeight w:val="2376" w:hRule="atLeast"/>
        </w:trPr>
        <w:tc>
          <w:tcPr>
            <w:tcW w:w="845" w:type="dxa"/>
            <w:tcBorders>
              <w:top w:val="single" w:color="000000" w:sz="4" w:space="0"/>
              <w:left w:val="single" w:color="000000" w:sz="4" w:space="0"/>
              <w:bottom w:val="single" w:color="000000" w:sz="4" w:space="0"/>
              <w:right w:val="single" w:color="000000" w:sz="4" w:space="0"/>
            </w:tcBorders>
          </w:tcPr>
          <w:p w14:paraId="62F04803">
            <w:pPr>
              <w:spacing w:after="0" w:line="259" w:lineRule="auto"/>
              <w:ind w:left="0" w:firstLine="0"/>
              <w:jc w:val="left"/>
            </w:pPr>
            <w:r>
              <w:t xml:space="preserve">63. </w:t>
            </w:r>
          </w:p>
        </w:tc>
        <w:tc>
          <w:tcPr>
            <w:tcW w:w="3690" w:type="dxa"/>
            <w:tcBorders>
              <w:top w:val="single" w:color="000000" w:sz="4" w:space="0"/>
              <w:left w:val="single" w:color="000000" w:sz="4" w:space="0"/>
              <w:bottom w:val="single" w:color="000000" w:sz="4" w:space="0"/>
              <w:right w:val="single" w:color="000000" w:sz="4" w:space="0"/>
            </w:tcBorders>
          </w:tcPr>
          <w:p w14:paraId="37077F6B">
            <w:pPr>
              <w:spacing w:after="0" w:line="238" w:lineRule="auto"/>
              <w:ind w:left="2" w:right="47" w:firstLine="0"/>
            </w:pPr>
            <w:r>
              <w:t xml:space="preserve">Transfer of financial instruments from an account with the Bank to an account with another foreign depositary, for the same owner, change of depositary </w:t>
            </w:r>
          </w:p>
          <w:p w14:paraId="35B00E07">
            <w:pPr>
              <w:spacing w:after="0" w:line="259" w:lineRule="auto"/>
              <w:ind w:left="2" w:firstLine="0"/>
              <w:jc w:val="left"/>
            </w:pPr>
            <w:r>
              <w:t xml:space="preserve"> </w:t>
            </w:r>
          </w:p>
        </w:tc>
        <w:tc>
          <w:tcPr>
            <w:tcW w:w="5243" w:type="dxa"/>
            <w:tcBorders>
              <w:top w:val="single" w:color="000000" w:sz="4" w:space="0"/>
              <w:left w:val="single" w:color="000000" w:sz="4" w:space="0"/>
              <w:bottom w:val="single" w:color="000000" w:sz="4" w:space="0"/>
              <w:right w:val="single" w:color="000000" w:sz="4" w:space="0"/>
            </w:tcBorders>
          </w:tcPr>
          <w:p w14:paraId="3E16FA6F">
            <w:pPr>
              <w:spacing w:after="98" w:line="259" w:lineRule="auto"/>
              <w:ind w:left="1" w:firstLine="0"/>
              <w:jc w:val="left"/>
            </w:pPr>
            <w:r>
              <w:t xml:space="preserve">Foreign market: </w:t>
            </w:r>
          </w:p>
          <w:p w14:paraId="129250A4">
            <w:pPr>
              <w:spacing w:after="98" w:line="259" w:lineRule="auto"/>
              <w:ind w:left="1" w:firstLine="0"/>
              <w:jc w:val="left"/>
            </w:pPr>
            <w:r>
              <w:t xml:space="preserve">Individual customers: </w:t>
            </w:r>
          </w:p>
          <w:p w14:paraId="122C4EAA">
            <w:pPr>
              <w:spacing w:after="120" w:line="238" w:lineRule="auto"/>
              <w:ind w:left="1" w:firstLine="0"/>
            </w:pPr>
            <w:r>
              <w:t xml:space="preserve">Up to 2% of market value, but not less than EUR 100 per financial instrument.  </w:t>
            </w:r>
          </w:p>
          <w:p w14:paraId="48D2943E">
            <w:pPr>
              <w:spacing w:after="100" w:line="259" w:lineRule="auto"/>
              <w:ind w:left="1" w:firstLine="0"/>
              <w:jc w:val="left"/>
            </w:pPr>
            <w:r>
              <w:t xml:space="preserve">Corporate customers: </w:t>
            </w:r>
          </w:p>
          <w:p w14:paraId="518DE91C">
            <w:pPr>
              <w:spacing w:after="0" w:line="259" w:lineRule="auto"/>
              <w:ind w:left="1" w:firstLine="0"/>
            </w:pPr>
            <w:r>
              <w:t xml:space="preserve">Up to 2% of market value, but not less than EUR 300 per financial instrument.  </w:t>
            </w:r>
          </w:p>
        </w:tc>
      </w:tr>
      <w:tr w14:paraId="5765C845">
        <w:tblPrEx>
          <w:tblCellMar>
            <w:top w:w="49" w:type="dxa"/>
            <w:left w:w="106" w:type="dxa"/>
            <w:bottom w:w="0" w:type="dxa"/>
            <w:right w:w="58" w:type="dxa"/>
          </w:tblCellMar>
        </w:tblPrEx>
        <w:trPr>
          <w:trHeight w:val="2907" w:hRule="atLeast"/>
        </w:trPr>
        <w:tc>
          <w:tcPr>
            <w:tcW w:w="845" w:type="dxa"/>
            <w:tcBorders>
              <w:top w:val="single" w:color="000000" w:sz="4" w:space="0"/>
              <w:left w:val="single" w:color="000000" w:sz="4" w:space="0"/>
              <w:bottom w:val="single" w:color="000000" w:sz="4" w:space="0"/>
              <w:right w:val="single" w:color="000000" w:sz="4" w:space="0"/>
            </w:tcBorders>
          </w:tcPr>
          <w:p w14:paraId="1FEFC9CD">
            <w:pPr>
              <w:spacing w:after="0" w:line="259" w:lineRule="auto"/>
              <w:ind w:left="0" w:firstLine="0"/>
              <w:jc w:val="left"/>
            </w:pPr>
            <w:r>
              <w:t xml:space="preserve">64. </w:t>
            </w:r>
          </w:p>
        </w:tc>
        <w:tc>
          <w:tcPr>
            <w:tcW w:w="3690" w:type="dxa"/>
            <w:tcBorders>
              <w:top w:val="single" w:color="000000" w:sz="4" w:space="0"/>
              <w:left w:val="single" w:color="000000" w:sz="4" w:space="0"/>
              <w:bottom w:val="single" w:color="000000" w:sz="4" w:space="0"/>
              <w:right w:val="single" w:color="000000" w:sz="4" w:space="0"/>
            </w:tcBorders>
          </w:tcPr>
          <w:p w14:paraId="4D1D8F72">
            <w:pPr>
              <w:spacing w:after="0" w:line="259" w:lineRule="auto"/>
              <w:ind w:left="2" w:right="48" w:firstLine="0"/>
            </w:pPr>
            <w:r>
              <w:t>FOP (free of payment), - transactions without payment, transfer to a different account (DF) - Reposting of financial instruments of a non-public company to another account at the order of a legal entity: transfer of financial instruments based on restructuring within a holding, transfer of financial instruments between affiliated legal entities, and other transfers of financial instruments without payment, on various legal grounds</w:t>
            </w:r>
          </w:p>
        </w:tc>
        <w:tc>
          <w:tcPr>
            <w:tcW w:w="5243" w:type="dxa"/>
            <w:tcBorders>
              <w:top w:val="single" w:color="000000" w:sz="4" w:space="0"/>
              <w:left w:val="single" w:color="000000" w:sz="4" w:space="0"/>
              <w:bottom w:val="single" w:color="000000" w:sz="4" w:space="0"/>
              <w:right w:val="single" w:color="000000" w:sz="4" w:space="0"/>
            </w:tcBorders>
          </w:tcPr>
          <w:p w14:paraId="0214D751">
            <w:pPr>
              <w:spacing w:after="98" w:line="259" w:lineRule="auto"/>
              <w:ind w:left="1" w:firstLine="0"/>
              <w:jc w:val="left"/>
            </w:pPr>
            <w:r>
              <w:t xml:space="preserve">Domestic market:  </w:t>
            </w:r>
          </w:p>
          <w:p w14:paraId="7B30C501">
            <w:pPr>
              <w:spacing w:after="59" w:line="296" w:lineRule="auto"/>
              <w:ind w:left="1" w:right="49" w:firstLine="0"/>
            </w:pPr>
            <w:r>
              <w:t xml:space="preserve">Up to 2% of market value, but minimum RSD 100,000 per financial instrument </w:t>
            </w:r>
          </w:p>
          <w:p w14:paraId="7494FC2A">
            <w:pPr>
              <w:spacing w:after="59" w:line="296" w:lineRule="auto"/>
              <w:ind w:left="1" w:right="49" w:firstLine="0"/>
            </w:pPr>
            <w:r>
              <w:t xml:space="preserve">Foreign market:  </w:t>
            </w:r>
          </w:p>
          <w:p w14:paraId="129ACAE1">
            <w:pPr>
              <w:spacing w:after="0" w:line="259" w:lineRule="auto"/>
              <w:ind w:left="1" w:firstLine="0"/>
            </w:pPr>
            <w:r>
              <w:t xml:space="preserve">Up to 2% of market value, but minimum RSD 100,000 per financial instrument  </w:t>
            </w:r>
          </w:p>
        </w:tc>
      </w:tr>
      <w:tr w14:paraId="3F9A7F23">
        <w:tblPrEx>
          <w:tblCellMar>
            <w:top w:w="49" w:type="dxa"/>
            <w:left w:w="106" w:type="dxa"/>
            <w:bottom w:w="0" w:type="dxa"/>
            <w:right w:w="58" w:type="dxa"/>
          </w:tblCellMar>
        </w:tblPrEx>
        <w:trPr>
          <w:trHeight w:val="756" w:hRule="atLeast"/>
        </w:trPr>
        <w:tc>
          <w:tcPr>
            <w:tcW w:w="845" w:type="dxa"/>
            <w:tcBorders>
              <w:top w:val="single" w:color="000000" w:sz="4" w:space="0"/>
              <w:left w:val="single" w:color="000000" w:sz="4" w:space="0"/>
              <w:bottom w:val="single" w:color="000000" w:sz="4" w:space="0"/>
              <w:right w:val="single" w:color="000000" w:sz="4" w:space="0"/>
            </w:tcBorders>
          </w:tcPr>
          <w:p w14:paraId="76C0D12F">
            <w:pPr>
              <w:spacing w:after="0" w:line="259" w:lineRule="auto"/>
              <w:ind w:left="0" w:firstLine="0"/>
              <w:jc w:val="left"/>
            </w:pPr>
            <w:r>
              <w:t xml:space="preserve">65. </w:t>
            </w:r>
          </w:p>
        </w:tc>
        <w:tc>
          <w:tcPr>
            <w:tcW w:w="3690" w:type="dxa"/>
            <w:tcBorders>
              <w:top w:val="single" w:color="000000" w:sz="4" w:space="0"/>
              <w:left w:val="single" w:color="000000" w:sz="4" w:space="0"/>
              <w:bottom w:val="single" w:color="000000" w:sz="4" w:space="0"/>
              <w:right w:val="single" w:color="000000" w:sz="4" w:space="0"/>
            </w:tcBorders>
          </w:tcPr>
          <w:p w14:paraId="5E25FB46">
            <w:pPr>
              <w:spacing w:after="0" w:line="259" w:lineRule="auto"/>
              <w:ind w:left="2" w:firstLine="0"/>
            </w:pPr>
            <w:r>
              <w:t xml:space="preserve">FOP (free of payment) – transactions without payment, receipt to an account (RF) </w:t>
            </w:r>
          </w:p>
        </w:tc>
        <w:tc>
          <w:tcPr>
            <w:tcW w:w="5243" w:type="dxa"/>
            <w:tcBorders>
              <w:top w:val="single" w:color="000000" w:sz="4" w:space="0"/>
              <w:left w:val="single" w:color="000000" w:sz="4" w:space="0"/>
              <w:bottom w:val="single" w:color="000000" w:sz="4" w:space="0"/>
              <w:right w:val="single" w:color="000000" w:sz="4" w:space="0"/>
            </w:tcBorders>
          </w:tcPr>
          <w:p w14:paraId="7225885D">
            <w:pPr>
              <w:spacing w:after="100" w:line="259" w:lineRule="auto"/>
              <w:ind w:left="1" w:firstLine="0"/>
              <w:jc w:val="left"/>
            </w:pPr>
            <w:r>
              <w:t xml:space="preserve">Domestic market: Free of charge </w:t>
            </w:r>
          </w:p>
          <w:p w14:paraId="24ED531E">
            <w:pPr>
              <w:spacing w:after="0" w:line="259" w:lineRule="auto"/>
              <w:ind w:left="1" w:firstLine="0"/>
              <w:jc w:val="left"/>
            </w:pPr>
            <w:r>
              <w:t xml:space="preserve">Foreign market: Free of charge </w:t>
            </w:r>
          </w:p>
        </w:tc>
      </w:tr>
      <w:tr w14:paraId="0A3E1078">
        <w:tblPrEx>
          <w:tblCellMar>
            <w:top w:w="49" w:type="dxa"/>
            <w:left w:w="106" w:type="dxa"/>
            <w:bottom w:w="0" w:type="dxa"/>
            <w:right w:w="58" w:type="dxa"/>
          </w:tblCellMar>
        </w:tblPrEx>
        <w:trPr>
          <w:trHeight w:val="1260" w:hRule="atLeast"/>
        </w:trPr>
        <w:tc>
          <w:tcPr>
            <w:tcW w:w="845" w:type="dxa"/>
            <w:tcBorders>
              <w:top w:val="single" w:color="000000" w:sz="4" w:space="0"/>
              <w:left w:val="single" w:color="000000" w:sz="4" w:space="0"/>
              <w:bottom w:val="single" w:color="000000" w:sz="4" w:space="0"/>
              <w:right w:val="single" w:color="000000" w:sz="4" w:space="0"/>
            </w:tcBorders>
          </w:tcPr>
          <w:p w14:paraId="250C485E">
            <w:pPr>
              <w:spacing w:after="0" w:line="259" w:lineRule="auto"/>
              <w:ind w:left="0" w:firstLine="0"/>
              <w:jc w:val="left"/>
            </w:pPr>
            <w:r>
              <w:t xml:space="preserve">66. </w:t>
            </w:r>
          </w:p>
        </w:tc>
        <w:tc>
          <w:tcPr>
            <w:tcW w:w="3690" w:type="dxa"/>
            <w:tcBorders>
              <w:top w:val="single" w:color="000000" w:sz="4" w:space="0"/>
              <w:left w:val="single" w:color="000000" w:sz="4" w:space="0"/>
              <w:bottom w:val="single" w:color="000000" w:sz="4" w:space="0"/>
              <w:right w:val="single" w:color="000000" w:sz="4" w:space="0"/>
            </w:tcBorders>
          </w:tcPr>
          <w:p w14:paraId="63411224">
            <w:pPr>
              <w:spacing w:after="0" w:line="259" w:lineRule="auto"/>
              <w:ind w:left="2" w:firstLine="0"/>
              <w:jc w:val="left"/>
            </w:pPr>
            <w:r>
              <w:t xml:space="preserve">Invocation of a pledge on shares </w:t>
            </w:r>
          </w:p>
        </w:tc>
        <w:tc>
          <w:tcPr>
            <w:tcW w:w="5243" w:type="dxa"/>
            <w:tcBorders>
              <w:top w:val="single" w:color="000000" w:sz="4" w:space="0"/>
              <w:left w:val="single" w:color="000000" w:sz="4" w:space="0"/>
              <w:bottom w:val="single" w:color="000000" w:sz="4" w:space="0"/>
              <w:right w:val="single" w:color="000000" w:sz="4" w:space="0"/>
            </w:tcBorders>
          </w:tcPr>
          <w:p w14:paraId="5261E0AB">
            <w:pPr>
              <w:spacing w:after="0" w:line="259" w:lineRule="auto"/>
              <w:ind w:left="1" w:firstLine="0"/>
              <w:jc w:val="left"/>
            </w:pPr>
            <w:r>
              <w:t xml:space="preserve">Individual customers: </w:t>
            </w:r>
          </w:p>
          <w:p w14:paraId="05986BD7">
            <w:pPr>
              <w:numPr>
                <w:ilvl w:val="0"/>
                <w:numId w:val="5"/>
              </w:numPr>
              <w:spacing w:after="0" w:line="352" w:lineRule="auto"/>
              <w:ind w:right="1445" w:firstLine="0"/>
              <w:jc w:val="left"/>
            </w:pPr>
            <w:r>
              <w:t xml:space="preserve">Up to RSD 150,000 </w:t>
            </w:r>
          </w:p>
          <w:p w14:paraId="0FF4E80D">
            <w:pPr>
              <w:spacing w:after="0" w:line="352" w:lineRule="auto"/>
              <w:ind w:left="1" w:right="1445" w:firstLine="0"/>
              <w:jc w:val="left"/>
            </w:pPr>
            <w:r>
              <w:t xml:space="preserve">Corporate customers: </w:t>
            </w:r>
          </w:p>
          <w:p w14:paraId="4176EBBA">
            <w:pPr>
              <w:numPr>
                <w:ilvl w:val="0"/>
                <w:numId w:val="5"/>
              </w:numPr>
              <w:spacing w:after="0" w:line="259" w:lineRule="auto"/>
              <w:ind w:right="1445" w:firstLine="0"/>
              <w:jc w:val="left"/>
            </w:pPr>
            <w:r>
              <w:t xml:space="preserve">Up to RSD 300,000 </w:t>
            </w:r>
          </w:p>
        </w:tc>
      </w:tr>
      <w:tr w14:paraId="53DF4E4E">
        <w:tblPrEx>
          <w:tblCellMar>
            <w:top w:w="49" w:type="dxa"/>
            <w:left w:w="106" w:type="dxa"/>
            <w:bottom w:w="0" w:type="dxa"/>
            <w:right w:w="58" w:type="dxa"/>
          </w:tblCellMar>
        </w:tblPrEx>
        <w:trPr>
          <w:trHeight w:val="382" w:hRule="atLeast"/>
        </w:trPr>
        <w:tc>
          <w:tcPr>
            <w:tcW w:w="845" w:type="dxa"/>
            <w:tcBorders>
              <w:top w:val="single" w:color="000000" w:sz="4" w:space="0"/>
              <w:left w:val="single" w:color="000000" w:sz="4" w:space="0"/>
              <w:bottom w:val="single" w:color="000000" w:sz="4" w:space="0"/>
              <w:right w:val="single" w:color="000000" w:sz="4" w:space="0"/>
            </w:tcBorders>
          </w:tcPr>
          <w:p w14:paraId="0A0A9387">
            <w:pPr>
              <w:spacing w:after="0" w:line="259" w:lineRule="auto"/>
              <w:ind w:left="0" w:firstLine="0"/>
              <w:jc w:val="left"/>
            </w:pPr>
            <w:r>
              <w:t xml:space="preserve">67. </w:t>
            </w:r>
          </w:p>
        </w:tc>
        <w:tc>
          <w:tcPr>
            <w:tcW w:w="3690" w:type="dxa"/>
            <w:tcBorders>
              <w:top w:val="single" w:color="000000" w:sz="4" w:space="0"/>
              <w:left w:val="single" w:color="000000" w:sz="4" w:space="0"/>
              <w:bottom w:val="single" w:color="000000" w:sz="4" w:space="0"/>
              <w:right w:val="single" w:color="000000" w:sz="4" w:space="0"/>
            </w:tcBorders>
          </w:tcPr>
          <w:p w14:paraId="52CA63E7">
            <w:pPr>
              <w:spacing w:after="0" w:line="259" w:lineRule="auto"/>
              <w:ind w:left="2" w:firstLine="0"/>
              <w:jc w:val="left"/>
            </w:pPr>
            <w:r>
              <w:t xml:space="preserve">Registration/deregistration of pledge at the order of individual customers </w:t>
            </w:r>
          </w:p>
        </w:tc>
        <w:tc>
          <w:tcPr>
            <w:tcW w:w="5243" w:type="dxa"/>
            <w:tcBorders>
              <w:top w:val="single" w:color="000000" w:sz="4" w:space="0"/>
              <w:left w:val="single" w:color="000000" w:sz="4" w:space="0"/>
              <w:bottom w:val="single" w:color="000000" w:sz="4" w:space="0"/>
              <w:right w:val="single" w:color="000000" w:sz="4" w:space="0"/>
            </w:tcBorders>
          </w:tcPr>
          <w:p w14:paraId="39678829">
            <w:pPr>
              <w:spacing w:after="0" w:line="259" w:lineRule="auto"/>
              <w:ind w:left="1" w:firstLine="0"/>
              <w:jc w:val="left"/>
            </w:pPr>
            <w:r>
              <w:t xml:space="preserve">Up to RSD 30,000 </w:t>
            </w:r>
          </w:p>
        </w:tc>
      </w:tr>
      <w:tr w14:paraId="60BA8FE3">
        <w:tblPrEx>
          <w:tblCellMar>
            <w:top w:w="49" w:type="dxa"/>
            <w:left w:w="106" w:type="dxa"/>
            <w:bottom w:w="0" w:type="dxa"/>
            <w:right w:w="58" w:type="dxa"/>
          </w:tblCellMar>
        </w:tblPrEx>
        <w:trPr>
          <w:trHeight w:val="384" w:hRule="atLeast"/>
        </w:trPr>
        <w:tc>
          <w:tcPr>
            <w:tcW w:w="845" w:type="dxa"/>
            <w:tcBorders>
              <w:top w:val="single" w:color="000000" w:sz="4" w:space="0"/>
              <w:left w:val="single" w:color="000000" w:sz="4" w:space="0"/>
              <w:bottom w:val="single" w:color="000000" w:sz="4" w:space="0"/>
              <w:right w:val="single" w:color="000000" w:sz="4" w:space="0"/>
            </w:tcBorders>
          </w:tcPr>
          <w:p w14:paraId="38CBF621">
            <w:pPr>
              <w:spacing w:after="0" w:line="259" w:lineRule="auto"/>
              <w:ind w:left="0" w:firstLine="0"/>
              <w:jc w:val="left"/>
            </w:pPr>
            <w:r>
              <w:t xml:space="preserve">68. </w:t>
            </w:r>
          </w:p>
        </w:tc>
        <w:tc>
          <w:tcPr>
            <w:tcW w:w="3690" w:type="dxa"/>
            <w:tcBorders>
              <w:top w:val="single" w:color="000000" w:sz="4" w:space="0"/>
              <w:left w:val="single" w:color="000000" w:sz="4" w:space="0"/>
              <w:bottom w:val="single" w:color="000000" w:sz="4" w:space="0"/>
              <w:right w:val="single" w:color="000000" w:sz="4" w:space="0"/>
            </w:tcBorders>
          </w:tcPr>
          <w:p w14:paraId="03AE2A22">
            <w:pPr>
              <w:spacing w:after="0" w:line="259" w:lineRule="auto"/>
              <w:ind w:left="2" w:firstLine="0"/>
              <w:jc w:val="left"/>
            </w:pPr>
            <w:r>
              <w:t>Registration/deregistration of pledge at the order of corporate customers</w:t>
            </w:r>
          </w:p>
        </w:tc>
        <w:tc>
          <w:tcPr>
            <w:tcW w:w="5243" w:type="dxa"/>
            <w:tcBorders>
              <w:top w:val="single" w:color="000000" w:sz="4" w:space="0"/>
              <w:left w:val="single" w:color="000000" w:sz="4" w:space="0"/>
              <w:bottom w:val="single" w:color="000000" w:sz="4" w:space="0"/>
              <w:right w:val="single" w:color="000000" w:sz="4" w:space="0"/>
            </w:tcBorders>
          </w:tcPr>
          <w:p w14:paraId="4B92FB2B">
            <w:pPr>
              <w:spacing w:after="0" w:line="259" w:lineRule="auto"/>
              <w:ind w:left="1" w:firstLine="0"/>
              <w:jc w:val="left"/>
            </w:pPr>
            <w:r>
              <w:t xml:space="preserve">Up to RSD 300,000 </w:t>
            </w:r>
          </w:p>
        </w:tc>
      </w:tr>
      <w:tr w14:paraId="214B3E70">
        <w:tblPrEx>
          <w:tblCellMar>
            <w:top w:w="49" w:type="dxa"/>
            <w:left w:w="106" w:type="dxa"/>
            <w:bottom w:w="0" w:type="dxa"/>
            <w:right w:w="58" w:type="dxa"/>
          </w:tblCellMar>
        </w:tblPrEx>
        <w:trPr>
          <w:trHeight w:val="382" w:hRule="atLeast"/>
        </w:trPr>
        <w:tc>
          <w:tcPr>
            <w:tcW w:w="845" w:type="dxa"/>
            <w:tcBorders>
              <w:top w:val="single" w:color="000000" w:sz="4" w:space="0"/>
              <w:left w:val="single" w:color="000000" w:sz="4" w:space="0"/>
              <w:bottom w:val="single" w:color="000000" w:sz="4" w:space="0"/>
              <w:right w:val="single" w:color="000000" w:sz="4" w:space="0"/>
            </w:tcBorders>
          </w:tcPr>
          <w:p w14:paraId="702EED8D">
            <w:pPr>
              <w:spacing w:after="0" w:line="259" w:lineRule="auto"/>
              <w:ind w:left="1" w:firstLine="0"/>
              <w:jc w:val="left"/>
            </w:pPr>
            <w:r>
              <w:t xml:space="preserve">69. </w:t>
            </w:r>
          </w:p>
        </w:tc>
        <w:tc>
          <w:tcPr>
            <w:tcW w:w="3690" w:type="dxa"/>
            <w:tcBorders>
              <w:top w:val="single" w:color="000000" w:sz="4" w:space="0"/>
              <w:left w:val="single" w:color="000000" w:sz="4" w:space="0"/>
              <w:bottom w:val="single" w:color="000000" w:sz="4" w:space="0"/>
              <w:right w:val="single" w:color="000000" w:sz="4" w:space="0"/>
            </w:tcBorders>
          </w:tcPr>
          <w:p w14:paraId="535C1E40">
            <w:pPr>
              <w:spacing w:after="0" w:line="259" w:lineRule="auto"/>
              <w:ind w:left="0" w:firstLine="0"/>
              <w:jc w:val="left"/>
            </w:pPr>
            <w:r>
              <w:t>Registration and deregistration of disposal restrictions</w:t>
            </w:r>
          </w:p>
        </w:tc>
        <w:tc>
          <w:tcPr>
            <w:tcW w:w="5243" w:type="dxa"/>
            <w:tcBorders>
              <w:top w:val="single" w:color="000000" w:sz="4" w:space="0"/>
              <w:left w:val="single" w:color="000000" w:sz="4" w:space="0"/>
              <w:bottom w:val="single" w:color="000000" w:sz="4" w:space="0"/>
              <w:right w:val="single" w:color="000000" w:sz="4" w:space="0"/>
            </w:tcBorders>
          </w:tcPr>
          <w:p w14:paraId="100169F9">
            <w:pPr>
              <w:spacing w:after="0" w:line="259" w:lineRule="auto"/>
              <w:ind w:left="0" w:firstLine="0"/>
              <w:jc w:val="left"/>
            </w:pPr>
            <w:r>
              <w:t xml:space="preserve">Up to RSD 50,000 </w:t>
            </w:r>
          </w:p>
        </w:tc>
      </w:tr>
      <w:tr w14:paraId="77DA55B8">
        <w:tblPrEx>
          <w:tblCellMar>
            <w:top w:w="49" w:type="dxa"/>
            <w:left w:w="106" w:type="dxa"/>
            <w:bottom w:w="0" w:type="dxa"/>
            <w:right w:w="58" w:type="dxa"/>
          </w:tblCellMar>
        </w:tblPrEx>
        <w:trPr>
          <w:trHeight w:val="634" w:hRule="atLeast"/>
        </w:trPr>
        <w:tc>
          <w:tcPr>
            <w:tcW w:w="845" w:type="dxa"/>
            <w:tcBorders>
              <w:top w:val="single" w:color="000000" w:sz="4" w:space="0"/>
              <w:left w:val="single" w:color="000000" w:sz="4" w:space="0"/>
              <w:bottom w:val="single" w:color="000000" w:sz="4" w:space="0"/>
              <w:right w:val="single" w:color="000000" w:sz="4" w:space="0"/>
            </w:tcBorders>
          </w:tcPr>
          <w:p w14:paraId="5EA72561">
            <w:pPr>
              <w:spacing w:after="0" w:line="259" w:lineRule="auto"/>
              <w:ind w:left="1" w:firstLine="0"/>
              <w:jc w:val="left"/>
            </w:pPr>
            <w:r>
              <w:t xml:space="preserve">70. </w:t>
            </w:r>
          </w:p>
        </w:tc>
        <w:tc>
          <w:tcPr>
            <w:tcW w:w="3690" w:type="dxa"/>
            <w:tcBorders>
              <w:top w:val="single" w:color="000000" w:sz="4" w:space="0"/>
              <w:left w:val="single" w:color="000000" w:sz="4" w:space="0"/>
              <w:bottom w:val="single" w:color="000000" w:sz="4" w:space="0"/>
              <w:right w:val="single" w:color="000000" w:sz="4" w:space="0"/>
            </w:tcBorders>
          </w:tcPr>
          <w:p w14:paraId="4D51DA25">
            <w:pPr>
              <w:spacing w:after="0" w:line="259" w:lineRule="auto"/>
              <w:ind w:left="0" w:firstLine="0"/>
            </w:pPr>
            <w:r>
              <w:t xml:space="preserve">Conducting enforcement proceedings over shares </w:t>
            </w:r>
          </w:p>
        </w:tc>
        <w:tc>
          <w:tcPr>
            <w:tcW w:w="5243" w:type="dxa"/>
            <w:tcBorders>
              <w:top w:val="single" w:color="000000" w:sz="4" w:space="0"/>
              <w:left w:val="single" w:color="000000" w:sz="4" w:space="0"/>
              <w:bottom w:val="single" w:color="000000" w:sz="4" w:space="0"/>
              <w:right w:val="single" w:color="000000" w:sz="4" w:space="0"/>
            </w:tcBorders>
          </w:tcPr>
          <w:p w14:paraId="582AAA76">
            <w:pPr>
              <w:spacing w:after="0" w:line="259" w:lineRule="auto"/>
              <w:ind w:left="0" w:firstLine="0"/>
              <w:jc w:val="left"/>
            </w:pPr>
            <w:r>
              <w:t xml:space="preserve">Up to 10% of the transaction value </w:t>
            </w:r>
          </w:p>
        </w:tc>
      </w:tr>
      <w:tr w14:paraId="7C6B91FE">
        <w:tblPrEx>
          <w:tblCellMar>
            <w:top w:w="49" w:type="dxa"/>
            <w:left w:w="106" w:type="dxa"/>
            <w:bottom w:w="0" w:type="dxa"/>
            <w:right w:w="58" w:type="dxa"/>
          </w:tblCellMar>
        </w:tblPrEx>
        <w:trPr>
          <w:trHeight w:val="1140" w:hRule="atLeast"/>
        </w:trPr>
        <w:tc>
          <w:tcPr>
            <w:tcW w:w="845" w:type="dxa"/>
            <w:tcBorders>
              <w:top w:val="single" w:color="000000" w:sz="4" w:space="0"/>
              <w:left w:val="single" w:color="000000" w:sz="4" w:space="0"/>
              <w:bottom w:val="single" w:color="000000" w:sz="4" w:space="0"/>
              <w:right w:val="single" w:color="000000" w:sz="4" w:space="0"/>
            </w:tcBorders>
          </w:tcPr>
          <w:p w14:paraId="0E17606B">
            <w:pPr>
              <w:spacing w:after="0" w:line="259" w:lineRule="auto"/>
              <w:ind w:left="1" w:firstLine="0"/>
              <w:jc w:val="left"/>
            </w:pPr>
            <w:r>
              <w:t xml:space="preserve">71. </w:t>
            </w:r>
          </w:p>
        </w:tc>
        <w:tc>
          <w:tcPr>
            <w:tcW w:w="3690" w:type="dxa"/>
            <w:tcBorders>
              <w:top w:val="single" w:color="000000" w:sz="4" w:space="0"/>
              <w:left w:val="single" w:color="000000" w:sz="4" w:space="0"/>
              <w:bottom w:val="single" w:color="000000" w:sz="4" w:space="0"/>
              <w:right w:val="single" w:color="000000" w:sz="4" w:space="0"/>
            </w:tcBorders>
          </w:tcPr>
          <w:p w14:paraId="31DAA3FE">
            <w:pPr>
              <w:spacing w:after="0" w:line="259" w:lineRule="auto"/>
              <w:ind w:left="0" w:right="49" w:firstLine="0"/>
            </w:pPr>
            <w:r>
              <w:t xml:space="preserve">Change of registered personal data at the client's request (Unique Master Citizen Number/identification number, name, address, representative, etc.), per request </w:t>
            </w:r>
          </w:p>
        </w:tc>
        <w:tc>
          <w:tcPr>
            <w:tcW w:w="5243" w:type="dxa"/>
            <w:tcBorders>
              <w:top w:val="single" w:color="000000" w:sz="4" w:space="0"/>
              <w:left w:val="single" w:color="000000" w:sz="4" w:space="0"/>
              <w:bottom w:val="single" w:color="000000" w:sz="4" w:space="0"/>
              <w:right w:val="single" w:color="000000" w:sz="4" w:space="0"/>
            </w:tcBorders>
          </w:tcPr>
          <w:p w14:paraId="4823EDFD">
            <w:pPr>
              <w:spacing w:after="0" w:line="238" w:lineRule="auto"/>
              <w:ind w:left="0" w:right="936" w:firstLine="0"/>
              <w:jc w:val="left"/>
            </w:pPr>
            <w:r>
              <w:t xml:space="preserve">Individual customers: </w:t>
            </w:r>
          </w:p>
          <w:p w14:paraId="2BD206D0">
            <w:pPr>
              <w:spacing w:after="120" w:line="238" w:lineRule="auto"/>
              <w:ind w:left="0" w:right="937" w:firstLine="0"/>
              <w:jc w:val="left"/>
            </w:pPr>
            <w:r>
              <w:t xml:space="preserve">Up to RSD 10,000 </w:t>
            </w:r>
          </w:p>
          <w:p w14:paraId="335C349A">
            <w:pPr>
              <w:spacing w:after="0" w:line="259" w:lineRule="auto"/>
              <w:ind w:left="0" w:firstLine="0"/>
              <w:jc w:val="left"/>
            </w:pPr>
            <w:r>
              <w:t xml:space="preserve">Corporate customers: </w:t>
            </w:r>
          </w:p>
          <w:p w14:paraId="735AC605">
            <w:pPr>
              <w:spacing w:after="0" w:line="259" w:lineRule="auto"/>
              <w:ind w:left="0" w:firstLine="0"/>
              <w:jc w:val="left"/>
            </w:pPr>
            <w:r>
              <w:t xml:space="preserve">Up to RSD 40,000 </w:t>
            </w:r>
          </w:p>
        </w:tc>
      </w:tr>
      <w:tr w14:paraId="04F979DF">
        <w:tblPrEx>
          <w:tblCellMar>
            <w:top w:w="49" w:type="dxa"/>
            <w:left w:w="106" w:type="dxa"/>
            <w:bottom w:w="0" w:type="dxa"/>
            <w:right w:w="58" w:type="dxa"/>
          </w:tblCellMar>
        </w:tblPrEx>
        <w:trPr>
          <w:trHeight w:val="636" w:hRule="atLeast"/>
        </w:trPr>
        <w:tc>
          <w:tcPr>
            <w:tcW w:w="845" w:type="dxa"/>
            <w:tcBorders>
              <w:top w:val="single" w:color="000000" w:sz="4" w:space="0"/>
              <w:left w:val="single" w:color="000000" w:sz="4" w:space="0"/>
              <w:bottom w:val="single" w:color="000000" w:sz="4" w:space="0"/>
              <w:right w:val="single" w:color="000000" w:sz="4" w:space="0"/>
            </w:tcBorders>
          </w:tcPr>
          <w:p w14:paraId="45CCB7EE">
            <w:pPr>
              <w:spacing w:after="0" w:line="259" w:lineRule="auto"/>
              <w:ind w:left="1" w:firstLine="0"/>
              <w:jc w:val="left"/>
            </w:pPr>
            <w:r>
              <w:t xml:space="preserve">72. </w:t>
            </w:r>
          </w:p>
        </w:tc>
        <w:tc>
          <w:tcPr>
            <w:tcW w:w="3690" w:type="dxa"/>
            <w:tcBorders>
              <w:top w:val="single" w:color="000000" w:sz="4" w:space="0"/>
              <w:left w:val="single" w:color="000000" w:sz="4" w:space="0"/>
              <w:bottom w:val="single" w:color="000000" w:sz="4" w:space="0"/>
              <w:right w:val="single" w:color="000000" w:sz="4" w:space="0"/>
            </w:tcBorders>
          </w:tcPr>
          <w:p w14:paraId="59B90CA3">
            <w:pPr>
              <w:spacing w:after="0" w:line="259" w:lineRule="auto"/>
              <w:ind w:left="0" w:firstLine="0"/>
              <w:jc w:val="left"/>
            </w:pPr>
            <w:r>
              <w:t>Payment of coupons, liquidation balances, and bankruptcy estate</w:t>
            </w:r>
          </w:p>
        </w:tc>
        <w:tc>
          <w:tcPr>
            <w:tcW w:w="5243" w:type="dxa"/>
            <w:tcBorders>
              <w:top w:val="single" w:color="000000" w:sz="4" w:space="0"/>
              <w:left w:val="single" w:color="000000" w:sz="4" w:space="0"/>
              <w:bottom w:val="single" w:color="000000" w:sz="4" w:space="0"/>
              <w:right w:val="single" w:color="000000" w:sz="4" w:space="0"/>
            </w:tcBorders>
          </w:tcPr>
          <w:p w14:paraId="2B26A7A0">
            <w:pPr>
              <w:spacing w:after="0" w:line="259" w:lineRule="auto"/>
              <w:ind w:left="0" w:firstLine="0"/>
              <w:jc w:val="left"/>
            </w:pPr>
            <w:r>
              <w:t xml:space="preserve">Up to 10% of the payment amount </w:t>
            </w:r>
          </w:p>
        </w:tc>
      </w:tr>
      <w:tr w14:paraId="51C40221">
        <w:tblPrEx>
          <w:tblCellMar>
            <w:top w:w="49" w:type="dxa"/>
            <w:left w:w="106" w:type="dxa"/>
            <w:bottom w:w="0" w:type="dxa"/>
            <w:right w:w="58" w:type="dxa"/>
          </w:tblCellMar>
        </w:tblPrEx>
        <w:trPr>
          <w:trHeight w:val="382" w:hRule="atLeast"/>
        </w:trPr>
        <w:tc>
          <w:tcPr>
            <w:tcW w:w="845" w:type="dxa"/>
            <w:tcBorders>
              <w:top w:val="single" w:color="000000" w:sz="4" w:space="0"/>
              <w:left w:val="single" w:color="000000" w:sz="4" w:space="0"/>
              <w:bottom w:val="single" w:color="000000" w:sz="4" w:space="0"/>
              <w:right w:val="single" w:color="000000" w:sz="4" w:space="0"/>
            </w:tcBorders>
          </w:tcPr>
          <w:p w14:paraId="71C52432">
            <w:pPr>
              <w:spacing w:after="0" w:line="259" w:lineRule="auto"/>
              <w:ind w:left="1" w:firstLine="0"/>
              <w:jc w:val="left"/>
            </w:pPr>
            <w:r>
              <w:t xml:space="preserve">73. </w:t>
            </w:r>
          </w:p>
        </w:tc>
        <w:tc>
          <w:tcPr>
            <w:tcW w:w="3690" w:type="dxa"/>
            <w:tcBorders>
              <w:top w:val="single" w:color="000000" w:sz="4" w:space="0"/>
              <w:left w:val="single" w:color="000000" w:sz="4" w:space="0"/>
              <w:bottom w:val="single" w:color="000000" w:sz="4" w:space="0"/>
              <w:right w:val="single" w:color="000000" w:sz="4" w:space="0"/>
            </w:tcBorders>
          </w:tcPr>
          <w:p w14:paraId="330A773E">
            <w:pPr>
              <w:spacing w:after="0" w:line="259" w:lineRule="auto"/>
              <w:ind w:left="0" w:firstLine="0"/>
              <w:jc w:val="left"/>
            </w:pPr>
            <w:r>
              <w:t xml:space="preserve">Payment of share value pursuant to court decisions </w:t>
            </w:r>
          </w:p>
        </w:tc>
        <w:tc>
          <w:tcPr>
            <w:tcW w:w="5243" w:type="dxa"/>
            <w:tcBorders>
              <w:top w:val="single" w:color="000000" w:sz="4" w:space="0"/>
              <w:left w:val="single" w:color="000000" w:sz="4" w:space="0"/>
              <w:bottom w:val="single" w:color="000000" w:sz="4" w:space="0"/>
              <w:right w:val="single" w:color="000000" w:sz="4" w:space="0"/>
            </w:tcBorders>
          </w:tcPr>
          <w:p w14:paraId="338D60B6">
            <w:pPr>
              <w:spacing w:after="0" w:line="259" w:lineRule="auto"/>
              <w:ind w:left="0" w:firstLine="0"/>
              <w:jc w:val="left"/>
            </w:pPr>
            <w:r>
              <w:t xml:space="preserve">Up to 10% of the payment amount </w:t>
            </w:r>
          </w:p>
        </w:tc>
      </w:tr>
      <w:tr w14:paraId="6EAC3E7E">
        <w:tblPrEx>
          <w:tblCellMar>
            <w:top w:w="49" w:type="dxa"/>
            <w:left w:w="106" w:type="dxa"/>
            <w:bottom w:w="0" w:type="dxa"/>
            <w:right w:w="58" w:type="dxa"/>
          </w:tblCellMar>
        </w:tblPrEx>
        <w:trPr>
          <w:trHeight w:val="636" w:hRule="atLeast"/>
        </w:trPr>
        <w:tc>
          <w:tcPr>
            <w:tcW w:w="845" w:type="dxa"/>
            <w:tcBorders>
              <w:top w:val="single" w:color="000000" w:sz="4" w:space="0"/>
              <w:left w:val="single" w:color="000000" w:sz="4" w:space="0"/>
              <w:bottom w:val="single" w:color="000000" w:sz="4" w:space="0"/>
              <w:right w:val="single" w:color="000000" w:sz="4" w:space="0"/>
            </w:tcBorders>
          </w:tcPr>
          <w:p w14:paraId="679287EC">
            <w:pPr>
              <w:spacing w:after="0" w:line="259" w:lineRule="auto"/>
              <w:ind w:left="1" w:firstLine="0"/>
              <w:jc w:val="left"/>
            </w:pPr>
            <w:r>
              <w:t xml:space="preserve">74. </w:t>
            </w:r>
          </w:p>
        </w:tc>
        <w:tc>
          <w:tcPr>
            <w:tcW w:w="3690" w:type="dxa"/>
            <w:tcBorders>
              <w:top w:val="single" w:color="000000" w:sz="4" w:space="0"/>
              <w:left w:val="single" w:color="000000" w:sz="4" w:space="0"/>
              <w:bottom w:val="single" w:color="000000" w:sz="4" w:space="0"/>
              <w:right w:val="single" w:color="000000" w:sz="4" w:space="0"/>
            </w:tcBorders>
          </w:tcPr>
          <w:p w14:paraId="7B756410">
            <w:pPr>
              <w:spacing w:after="0" w:line="259" w:lineRule="auto"/>
              <w:ind w:left="0" w:firstLine="0"/>
              <w:jc w:val="left"/>
            </w:pPr>
            <w:r>
              <w:t xml:space="preserve">Issuance of duplicate confirmation of order execution </w:t>
            </w:r>
          </w:p>
        </w:tc>
        <w:tc>
          <w:tcPr>
            <w:tcW w:w="5243" w:type="dxa"/>
            <w:tcBorders>
              <w:top w:val="single" w:color="000000" w:sz="4" w:space="0"/>
              <w:left w:val="single" w:color="000000" w:sz="4" w:space="0"/>
              <w:bottom w:val="single" w:color="000000" w:sz="4" w:space="0"/>
              <w:right w:val="single" w:color="000000" w:sz="4" w:space="0"/>
            </w:tcBorders>
          </w:tcPr>
          <w:p w14:paraId="618CB944">
            <w:pPr>
              <w:spacing w:after="0" w:line="259" w:lineRule="auto"/>
              <w:ind w:left="0" w:firstLine="0"/>
              <w:jc w:val="left"/>
            </w:pPr>
            <w:r>
              <w:t xml:space="preserve">Maximum fee: Up to RSD 1,000.00 per request. </w:t>
            </w:r>
          </w:p>
        </w:tc>
      </w:tr>
      <w:tr w14:paraId="2A99552A">
        <w:tblPrEx>
          <w:tblCellMar>
            <w:top w:w="49" w:type="dxa"/>
            <w:left w:w="106" w:type="dxa"/>
            <w:bottom w:w="0" w:type="dxa"/>
            <w:right w:w="58" w:type="dxa"/>
          </w:tblCellMar>
        </w:tblPrEx>
        <w:trPr>
          <w:trHeight w:val="382" w:hRule="atLeast"/>
        </w:trPr>
        <w:tc>
          <w:tcPr>
            <w:tcW w:w="845" w:type="dxa"/>
            <w:tcBorders>
              <w:top w:val="single" w:color="000000" w:sz="4" w:space="0"/>
              <w:left w:val="single" w:color="000000" w:sz="4" w:space="0"/>
              <w:bottom w:val="single" w:color="000000" w:sz="4" w:space="0"/>
              <w:right w:val="single" w:color="000000" w:sz="4" w:space="0"/>
            </w:tcBorders>
          </w:tcPr>
          <w:p w14:paraId="60E64AFA">
            <w:pPr>
              <w:spacing w:after="0" w:line="259" w:lineRule="auto"/>
              <w:ind w:left="1" w:firstLine="0"/>
              <w:jc w:val="left"/>
            </w:pPr>
            <w:r>
              <w:t xml:space="preserve">75. </w:t>
            </w:r>
          </w:p>
        </w:tc>
        <w:tc>
          <w:tcPr>
            <w:tcW w:w="3690" w:type="dxa"/>
            <w:tcBorders>
              <w:top w:val="single" w:color="000000" w:sz="4" w:space="0"/>
              <w:left w:val="single" w:color="000000" w:sz="4" w:space="0"/>
              <w:bottom w:val="single" w:color="000000" w:sz="4" w:space="0"/>
              <w:right w:val="single" w:color="000000" w:sz="4" w:space="0"/>
            </w:tcBorders>
          </w:tcPr>
          <w:p w14:paraId="7DD7458A">
            <w:pPr>
              <w:spacing w:after="0" w:line="259" w:lineRule="auto"/>
              <w:ind w:left="0" w:firstLine="0"/>
              <w:jc w:val="left"/>
            </w:pPr>
            <w:r>
              <w:t xml:space="preserve">Delivery of account statements </w:t>
            </w:r>
          </w:p>
        </w:tc>
        <w:tc>
          <w:tcPr>
            <w:tcW w:w="5243" w:type="dxa"/>
            <w:tcBorders>
              <w:top w:val="single" w:color="000000" w:sz="4" w:space="0"/>
              <w:left w:val="single" w:color="000000" w:sz="4" w:space="0"/>
              <w:bottom w:val="single" w:color="000000" w:sz="4" w:space="0"/>
              <w:right w:val="single" w:color="000000" w:sz="4" w:space="0"/>
            </w:tcBorders>
          </w:tcPr>
          <w:p w14:paraId="4693AE7A">
            <w:pPr>
              <w:spacing w:after="0" w:line="259" w:lineRule="auto"/>
              <w:ind w:left="0" w:firstLine="0"/>
              <w:jc w:val="left"/>
            </w:pPr>
            <w:r>
              <w:t xml:space="preserve">Maximum fee: Up to RSD 1,000.00 per statement. </w:t>
            </w:r>
          </w:p>
        </w:tc>
      </w:tr>
      <w:tr w14:paraId="027C206A">
        <w:tblPrEx>
          <w:tblCellMar>
            <w:top w:w="49" w:type="dxa"/>
            <w:left w:w="106" w:type="dxa"/>
            <w:bottom w:w="0" w:type="dxa"/>
            <w:right w:w="58" w:type="dxa"/>
          </w:tblCellMar>
        </w:tblPrEx>
        <w:trPr>
          <w:trHeight w:val="382" w:hRule="atLeast"/>
        </w:trPr>
        <w:tc>
          <w:tcPr>
            <w:tcW w:w="845" w:type="dxa"/>
            <w:tcBorders>
              <w:top w:val="single" w:color="000000" w:sz="4" w:space="0"/>
              <w:left w:val="single" w:color="000000" w:sz="4" w:space="0"/>
              <w:bottom w:val="single" w:color="000000" w:sz="4" w:space="0"/>
              <w:right w:val="single" w:color="000000" w:sz="4" w:space="0"/>
            </w:tcBorders>
          </w:tcPr>
          <w:p w14:paraId="5764F3BD">
            <w:pPr>
              <w:spacing w:after="0" w:line="259" w:lineRule="auto"/>
              <w:ind w:left="1" w:firstLine="0"/>
              <w:jc w:val="left"/>
            </w:pPr>
            <w:r>
              <w:t xml:space="preserve">76. </w:t>
            </w:r>
          </w:p>
        </w:tc>
        <w:tc>
          <w:tcPr>
            <w:tcW w:w="3690" w:type="dxa"/>
            <w:tcBorders>
              <w:top w:val="single" w:color="000000" w:sz="4" w:space="0"/>
              <w:left w:val="single" w:color="000000" w:sz="4" w:space="0"/>
              <w:bottom w:val="single" w:color="000000" w:sz="4" w:space="0"/>
              <w:right w:val="single" w:color="000000" w:sz="4" w:space="0"/>
            </w:tcBorders>
          </w:tcPr>
          <w:p w14:paraId="56E77E70">
            <w:pPr>
              <w:spacing w:after="0" w:line="259" w:lineRule="auto"/>
              <w:ind w:left="0" w:firstLine="0"/>
              <w:jc w:val="left"/>
            </w:pPr>
            <w:r>
              <w:t xml:space="preserve">Issuance of special reports </w:t>
            </w:r>
          </w:p>
        </w:tc>
        <w:tc>
          <w:tcPr>
            <w:tcW w:w="5243" w:type="dxa"/>
            <w:tcBorders>
              <w:top w:val="single" w:color="000000" w:sz="4" w:space="0"/>
              <w:left w:val="single" w:color="000000" w:sz="4" w:space="0"/>
              <w:bottom w:val="single" w:color="000000" w:sz="4" w:space="0"/>
              <w:right w:val="single" w:color="000000" w:sz="4" w:space="0"/>
            </w:tcBorders>
          </w:tcPr>
          <w:p w14:paraId="09EA744B">
            <w:pPr>
              <w:spacing w:after="0" w:line="259" w:lineRule="auto"/>
              <w:ind w:left="0" w:firstLine="0"/>
              <w:jc w:val="left"/>
            </w:pPr>
            <w:r>
              <w:t xml:space="preserve">Maximum fee: Up to RSD 50,000.00 per report. </w:t>
            </w:r>
          </w:p>
        </w:tc>
      </w:tr>
      <w:tr w14:paraId="6D0D5E97">
        <w:tblPrEx>
          <w:tblCellMar>
            <w:top w:w="49" w:type="dxa"/>
            <w:left w:w="106" w:type="dxa"/>
            <w:bottom w:w="0" w:type="dxa"/>
            <w:right w:w="58" w:type="dxa"/>
          </w:tblCellMar>
        </w:tblPrEx>
        <w:trPr>
          <w:trHeight w:val="636" w:hRule="atLeast"/>
        </w:trPr>
        <w:tc>
          <w:tcPr>
            <w:tcW w:w="845" w:type="dxa"/>
            <w:tcBorders>
              <w:top w:val="single" w:color="000000" w:sz="4" w:space="0"/>
              <w:left w:val="single" w:color="000000" w:sz="4" w:space="0"/>
              <w:bottom w:val="single" w:color="000000" w:sz="4" w:space="0"/>
              <w:right w:val="single" w:color="000000" w:sz="4" w:space="0"/>
            </w:tcBorders>
          </w:tcPr>
          <w:p w14:paraId="6EF43AB4">
            <w:pPr>
              <w:spacing w:after="0" w:line="259" w:lineRule="auto"/>
              <w:ind w:left="1" w:firstLine="0"/>
              <w:jc w:val="left"/>
            </w:pPr>
            <w:r>
              <w:t xml:space="preserve">77. </w:t>
            </w:r>
          </w:p>
        </w:tc>
        <w:tc>
          <w:tcPr>
            <w:tcW w:w="3690" w:type="dxa"/>
            <w:tcBorders>
              <w:top w:val="single" w:color="000000" w:sz="4" w:space="0"/>
              <w:left w:val="single" w:color="000000" w:sz="4" w:space="0"/>
              <w:bottom w:val="single" w:color="000000" w:sz="4" w:space="0"/>
              <w:right w:val="single" w:color="000000" w:sz="4" w:space="0"/>
            </w:tcBorders>
          </w:tcPr>
          <w:p w14:paraId="2A7CEE13">
            <w:pPr>
              <w:spacing w:after="0" w:line="259" w:lineRule="auto"/>
              <w:ind w:left="0" w:firstLine="0"/>
              <w:jc w:val="left"/>
            </w:pPr>
            <w:r>
              <w:t xml:space="preserve">Representation at shareholders’ meetings </w:t>
            </w:r>
          </w:p>
        </w:tc>
        <w:tc>
          <w:tcPr>
            <w:tcW w:w="5243" w:type="dxa"/>
            <w:tcBorders>
              <w:top w:val="single" w:color="000000" w:sz="4" w:space="0"/>
              <w:left w:val="single" w:color="000000" w:sz="4" w:space="0"/>
              <w:bottom w:val="single" w:color="000000" w:sz="4" w:space="0"/>
              <w:right w:val="single" w:color="000000" w:sz="4" w:space="0"/>
            </w:tcBorders>
          </w:tcPr>
          <w:p w14:paraId="15C621DA">
            <w:pPr>
              <w:spacing w:after="0" w:line="259" w:lineRule="auto"/>
              <w:ind w:left="0" w:firstLine="0"/>
              <w:jc w:val="left"/>
            </w:pPr>
            <w:r>
              <w:t xml:space="preserve">Maximum commission: Up to RSD 300,000.00 per request. </w:t>
            </w:r>
          </w:p>
        </w:tc>
      </w:tr>
      <w:tr w14:paraId="64659366">
        <w:tblPrEx>
          <w:tblCellMar>
            <w:top w:w="49" w:type="dxa"/>
            <w:left w:w="106" w:type="dxa"/>
            <w:bottom w:w="0" w:type="dxa"/>
            <w:right w:w="58" w:type="dxa"/>
          </w:tblCellMar>
        </w:tblPrEx>
        <w:trPr>
          <w:trHeight w:val="636" w:hRule="atLeast"/>
        </w:trPr>
        <w:tc>
          <w:tcPr>
            <w:tcW w:w="845" w:type="dxa"/>
            <w:tcBorders>
              <w:top w:val="single" w:color="000000" w:sz="4" w:space="0"/>
              <w:left w:val="single" w:color="000000" w:sz="4" w:space="0"/>
              <w:bottom w:val="single" w:color="000000" w:sz="4" w:space="0"/>
              <w:right w:val="single" w:color="000000" w:sz="4" w:space="0"/>
            </w:tcBorders>
          </w:tcPr>
          <w:p w14:paraId="34F2C21D">
            <w:pPr>
              <w:spacing w:after="0" w:line="259" w:lineRule="auto"/>
              <w:ind w:left="1" w:firstLine="0"/>
              <w:jc w:val="left"/>
            </w:pPr>
            <w:r>
              <w:t xml:space="preserve">78.  </w:t>
            </w:r>
          </w:p>
        </w:tc>
        <w:tc>
          <w:tcPr>
            <w:tcW w:w="3690" w:type="dxa"/>
            <w:tcBorders>
              <w:top w:val="single" w:color="000000" w:sz="4" w:space="0"/>
              <w:left w:val="single" w:color="000000" w:sz="4" w:space="0"/>
              <w:bottom w:val="single" w:color="000000" w:sz="4" w:space="0"/>
              <w:right w:val="single" w:color="000000" w:sz="4" w:space="0"/>
            </w:tcBorders>
          </w:tcPr>
          <w:p w14:paraId="600DA4BB">
            <w:pPr>
              <w:spacing w:after="0" w:line="259" w:lineRule="auto"/>
              <w:ind w:left="0" w:firstLine="0"/>
            </w:pPr>
            <w:r>
              <w:t xml:space="preserve">Refund of tax on mature dividends and coupons from abroad </w:t>
            </w:r>
          </w:p>
        </w:tc>
        <w:tc>
          <w:tcPr>
            <w:tcW w:w="5243" w:type="dxa"/>
            <w:tcBorders>
              <w:top w:val="single" w:color="000000" w:sz="4" w:space="0"/>
              <w:left w:val="single" w:color="000000" w:sz="4" w:space="0"/>
              <w:bottom w:val="single" w:color="000000" w:sz="4" w:space="0"/>
              <w:right w:val="single" w:color="000000" w:sz="4" w:space="0"/>
            </w:tcBorders>
          </w:tcPr>
          <w:p w14:paraId="06757DBE">
            <w:pPr>
              <w:spacing w:after="0" w:line="259" w:lineRule="auto"/>
              <w:ind w:left="0" w:firstLine="0"/>
            </w:pPr>
            <w:r>
              <w:t>Maximum commission: EUR 150 and 20% of the collected amount + actual costs</w:t>
            </w:r>
          </w:p>
        </w:tc>
      </w:tr>
    </w:tbl>
    <w:p w14:paraId="27D4A4CB">
      <w:pPr>
        <w:spacing w:after="98" w:line="259" w:lineRule="auto"/>
        <w:ind w:left="0" w:firstLine="0"/>
        <w:jc w:val="left"/>
      </w:pPr>
      <w:r>
        <w:t xml:space="preserve"> </w:t>
      </w:r>
    </w:p>
    <w:p w14:paraId="23C2D970">
      <w:pPr>
        <w:spacing w:after="97"/>
        <w:ind w:left="-5" w:right="770"/>
      </w:pPr>
      <w:r>
        <w:rPr>
          <w:b/>
        </w:rPr>
        <w:t>Schedule heading 60</w:t>
      </w:r>
      <w:r>
        <w:t xml:space="preserve">: The commission and fee are stated in relation to the realised transaction value. It includes the sub-depositary’s commission and fee in foreign markets. </w:t>
      </w:r>
    </w:p>
    <w:p w14:paraId="051C616D">
      <w:pPr>
        <w:spacing w:after="94"/>
        <w:ind w:left="-5" w:right="770"/>
      </w:pPr>
      <w:r>
        <w:rPr>
          <w:b/>
        </w:rPr>
        <w:t xml:space="preserve">Schedule heading 61: </w:t>
      </w:r>
      <w:r>
        <w:rPr>
          <w:bCs/>
        </w:rPr>
        <w:t>Not applicable to collection of principal at maturity of debt instruments</w:t>
      </w:r>
      <w:r>
        <w:t xml:space="preserve">. </w:t>
      </w:r>
    </w:p>
    <w:p w14:paraId="2CD24DDE">
      <w:pPr>
        <w:spacing w:after="97"/>
        <w:ind w:left="-5" w:right="770"/>
      </w:pPr>
      <w:r>
        <w:rPr>
          <w:b/>
        </w:rPr>
        <w:t>Schedule headings 62-64</w:t>
      </w:r>
      <w:r>
        <w:t xml:space="preserve">: If a FI has no market value, the par value of that FI is used in the calculation. </w:t>
      </w:r>
    </w:p>
    <w:p w14:paraId="1B020B20">
      <w:pPr>
        <w:spacing w:after="97"/>
        <w:ind w:left="-5" w:right="770"/>
      </w:pPr>
      <w:r>
        <w:rPr>
          <w:b/>
        </w:rPr>
        <w:t xml:space="preserve">Schedule heading 70: </w:t>
      </w:r>
      <w:r>
        <w:t>Charged after balancing of the DvP transaction. It applies to all initiated transactions based on corporate events under Serbian legislation.</w:t>
      </w:r>
      <w:r>
        <w:rPr>
          <w:b/>
        </w:rPr>
        <w:t xml:space="preserve"> </w:t>
      </w:r>
    </w:p>
    <w:p w14:paraId="38719D6C">
      <w:pPr>
        <w:spacing w:after="98"/>
        <w:ind w:left="-5" w:right="770"/>
      </w:pPr>
      <w:r>
        <w:rPr>
          <w:b/>
        </w:rPr>
        <w:t>Schedule heading 77</w:t>
      </w:r>
      <w:r>
        <w:t xml:space="preserve">: Applies only to services performed at the Company’s request, if an employee of the Depositary is authorised for representation in relations with the Issuer (voting in person in a shareholders’ meeting, access to and receipt of documents…). Does not apply if this activity is carried out by a third party not employed by the Depositary. Charged at the time of issuance of the Corporate Activity Order, while actual costs are collected upon completion of the activity. </w:t>
      </w:r>
    </w:p>
    <w:p w14:paraId="79B1070E">
      <w:pPr>
        <w:spacing w:after="132" w:line="249" w:lineRule="auto"/>
        <w:ind w:left="-5" w:right="771"/>
      </w:pPr>
      <w:r>
        <w:rPr>
          <w:b/>
        </w:rPr>
        <w:t xml:space="preserve">Schedule heading 78: </w:t>
      </w:r>
      <w:r>
        <w:rPr>
          <w:bCs/>
        </w:rPr>
        <w:t>Applies to tax refunds through sub-depositaries under bilateral double transaction treaties</w:t>
      </w:r>
      <w:r>
        <w:t xml:space="preserve">. The fixed amount is charged at the time of issuance of the Corporate Activity Order, while the stated percentage is charged at the time of distribution of the collected amount. Does not apply to regular corporate activities (share consolidation and splitting, distribution and execution of warrant rights, fractional remainders, balancing of dividend payments, interest, coupon payments, remote voting, participation in public offers, compulsory buybacks…) </w:t>
      </w:r>
    </w:p>
    <w:p w14:paraId="1768A797">
      <w:pPr>
        <w:spacing w:after="105" w:line="259" w:lineRule="auto"/>
        <w:ind w:left="0" w:firstLine="0"/>
        <w:jc w:val="left"/>
      </w:pPr>
      <w:r>
        <w:t xml:space="preserve"> </w:t>
      </w:r>
      <w:r>
        <w:tab/>
      </w:r>
      <w:r>
        <w:t xml:space="preserve"> </w:t>
      </w:r>
    </w:p>
    <w:p w14:paraId="24F1F6F1">
      <w:pPr>
        <w:spacing w:after="97"/>
        <w:ind w:left="-5" w:right="770"/>
      </w:pPr>
      <w:r>
        <w:rPr>
          <w:b/>
        </w:rPr>
        <w:t xml:space="preserve">XIII </w:t>
      </w:r>
      <w:r>
        <w:t>The Head of the Investment Banking Department may, with the co-signature of a second level signatory, agree on commissions and fees lower than the maximum figures for specific operations.</w:t>
      </w:r>
      <w:r>
        <w:rPr>
          <w:b/>
        </w:rPr>
        <w:t xml:space="preserve"> </w:t>
      </w:r>
    </w:p>
    <w:p w14:paraId="719B4008">
      <w:pPr>
        <w:spacing w:after="98" w:line="259" w:lineRule="auto"/>
        <w:ind w:left="0" w:firstLine="0"/>
        <w:jc w:val="left"/>
      </w:pPr>
      <w:r>
        <w:t xml:space="preserve"> </w:t>
      </w:r>
    </w:p>
    <w:p w14:paraId="02035BDE">
      <w:pPr>
        <w:pStyle w:val="4"/>
        <w:spacing w:after="161"/>
        <w:ind w:left="-5"/>
      </w:pPr>
      <w:r>
        <w:t>XIV Costs</w:t>
      </w:r>
    </w:p>
    <w:p w14:paraId="6BF473DB">
      <w:pPr>
        <w:pStyle w:val="4"/>
        <w:spacing w:after="161"/>
        <w:ind w:left="-5"/>
      </w:pPr>
      <w:r>
        <w:rPr>
          <w:b w:val="0"/>
        </w:rPr>
        <w:t xml:space="preserve">1. </w:t>
      </w:r>
      <w:r>
        <w:t>Actual Costs</w:t>
      </w:r>
      <w:r>
        <w:rPr>
          <w:b w:val="0"/>
        </w:rPr>
        <w:t xml:space="preserve"> </w:t>
      </w:r>
    </w:p>
    <w:p w14:paraId="1C0D89A1">
      <w:pPr>
        <w:numPr>
          <w:ilvl w:val="0"/>
          <w:numId w:val="6"/>
        </w:numPr>
        <w:ind w:right="448" w:hanging="360"/>
      </w:pPr>
      <w:r>
        <w:t xml:space="preserve">When providing investment and additional services, the Bank may incur certain actual costs related to: costs of reporting, publishing advertisements in the media, postage, travel expenses, certification charges collected by competent authorities, and other extraordinary costs arising from clients’ specific requests. </w:t>
      </w:r>
    </w:p>
    <w:p w14:paraId="4E659CB6">
      <w:pPr>
        <w:numPr>
          <w:ilvl w:val="0"/>
          <w:numId w:val="6"/>
        </w:numPr>
        <w:spacing w:after="154"/>
        <w:ind w:right="448" w:hanging="360"/>
      </w:pPr>
      <w:r>
        <w:t xml:space="preserve">The client is required to reimburse the Bank for these costs immediately upon their incurrence. The Bank will issue an invoice for these costs to the client or charge them as provided for in the agreement or as per the client's request. </w:t>
      </w:r>
    </w:p>
    <w:p w14:paraId="2B39C6F0">
      <w:pPr>
        <w:pStyle w:val="4"/>
        <w:spacing w:after="164"/>
        <w:ind w:left="370"/>
      </w:pPr>
      <w:r>
        <w:rPr>
          <w:b w:val="0"/>
        </w:rPr>
        <w:t xml:space="preserve">2. </w:t>
      </w:r>
      <w:r>
        <w:t>Third-party Costs</w:t>
      </w:r>
      <w:r>
        <w:rPr>
          <w:b w:val="0"/>
        </w:rPr>
        <w:t xml:space="preserve"> </w:t>
      </w:r>
    </w:p>
    <w:p w14:paraId="6291B057">
      <w:pPr>
        <w:numPr>
          <w:ilvl w:val="0"/>
          <w:numId w:val="7"/>
        </w:numPr>
        <w:ind w:right="770" w:hanging="360"/>
      </w:pPr>
      <w:r>
        <w:t xml:space="preserve">The commission and fees stated in this Regulation do not include costs and fees related to services provided by third parties. This includes any costs of commercial banks with which clients hold cash accounts for trading in financial instruments, market organisers, the Central Securities Registry, Depository and Clearing House, the Securities Commission, and other legal entities and institutions involved in the trading, clearing, and settlement process. </w:t>
      </w:r>
    </w:p>
    <w:p w14:paraId="0A26DA91">
      <w:pPr>
        <w:numPr>
          <w:ilvl w:val="0"/>
          <w:numId w:val="7"/>
        </w:numPr>
        <w:ind w:right="770" w:hanging="360"/>
      </w:pPr>
      <w:r>
        <w:t xml:space="preserve">The client is required to pay the Bank in full for any additional costs arising from the specific nature of a particular financial instrument or market, as well as any third-party costs. </w:t>
      </w:r>
    </w:p>
    <w:p w14:paraId="0F9BA1CE">
      <w:pPr>
        <w:pStyle w:val="4"/>
        <w:ind w:left="355"/>
      </w:pPr>
      <w:r>
        <w:rPr>
          <w:b w:val="0"/>
        </w:rPr>
        <w:t xml:space="preserve">3. </w:t>
      </w:r>
      <w:r>
        <w:t>Tax Liabilities</w:t>
      </w:r>
      <w:r>
        <w:rPr>
          <w:b w:val="0"/>
        </w:rPr>
        <w:t xml:space="preserve"> </w:t>
      </w:r>
    </w:p>
    <w:p w14:paraId="609B06FE">
      <w:pPr>
        <w:pStyle w:val="11"/>
        <w:numPr>
          <w:ilvl w:val="0"/>
          <w:numId w:val="1"/>
        </w:numPr>
        <w:spacing w:after="168" w:line="249" w:lineRule="auto"/>
        <w:ind w:right="771"/>
      </w:pPr>
      <w:r>
        <w:t xml:space="preserve">Taxes are not included in the schedule of charges and are charged separately on those services that are subject to taxation, in accordance with the positive legislation of the Republic of Serbia. The client is required to settle in accordance with the applicable laws any tax liabilities arising from the transactions or from other activities related to the financial instruments. </w:t>
      </w:r>
    </w:p>
    <w:p w14:paraId="36683017">
      <w:pPr>
        <w:spacing w:after="98" w:line="259" w:lineRule="auto"/>
        <w:ind w:left="1440" w:firstLine="0"/>
        <w:jc w:val="left"/>
      </w:pPr>
      <w:r>
        <w:t xml:space="preserve"> </w:t>
      </w:r>
    </w:p>
    <w:p w14:paraId="457028CC">
      <w:pPr>
        <w:pStyle w:val="4"/>
        <w:ind w:left="-5"/>
      </w:pPr>
      <w:r>
        <w:t>XV Closing Provisions</w:t>
      </w:r>
    </w:p>
    <w:p w14:paraId="5609B8D2">
      <w:pPr>
        <w:pStyle w:val="4"/>
        <w:ind w:left="-5"/>
      </w:pPr>
      <w:r>
        <w:rPr>
          <w:b w:val="0"/>
        </w:rPr>
        <w:t xml:space="preserve"> 1. </w:t>
      </w:r>
      <w:r>
        <w:t>Publicity and Application of the Regulation</w:t>
      </w:r>
      <w:r>
        <w:rPr>
          <w:b w:val="0"/>
        </w:rPr>
        <w:t xml:space="preserve"> </w:t>
      </w:r>
    </w:p>
    <w:p w14:paraId="4E0441A8">
      <w:pPr>
        <w:numPr>
          <w:ilvl w:val="0"/>
          <w:numId w:val="8"/>
        </w:numPr>
        <w:spacing w:after="168" w:line="249" w:lineRule="auto"/>
        <w:ind w:right="771" w:hanging="360"/>
      </w:pPr>
      <w:r>
        <w:t xml:space="preserve">This Regulation takes effect on the eighth day of its publishing on the Bank’s website and in the Bank’s commercial offices where investment and additional services are provided. </w:t>
      </w:r>
    </w:p>
    <w:p w14:paraId="14579D0E">
      <w:pPr>
        <w:numPr>
          <w:ilvl w:val="0"/>
          <w:numId w:val="8"/>
        </w:numPr>
        <w:ind w:right="771" w:hanging="360"/>
      </w:pPr>
      <w:r>
        <w:t xml:space="preserve">The Bank reserves the right to amend this Regulation, provided such amendments are made publicly available and published before their effective date. Any amendments and supplements must be adopted by the Bank’s competent bodies and compliant with the relevant legislation. </w:t>
      </w:r>
    </w:p>
    <w:p w14:paraId="0030DF75">
      <w:pPr>
        <w:spacing w:after="100" w:line="259" w:lineRule="auto"/>
        <w:ind w:left="0" w:firstLine="0"/>
        <w:jc w:val="left"/>
      </w:pPr>
      <w:r>
        <w:t xml:space="preserve"> </w:t>
      </w:r>
    </w:p>
    <w:p w14:paraId="6DF935E9">
      <w:pPr>
        <w:spacing w:after="98" w:line="259" w:lineRule="auto"/>
        <w:ind w:left="0" w:firstLine="0"/>
        <w:jc w:val="left"/>
      </w:pPr>
      <w:r>
        <w:t xml:space="preserve"> </w:t>
      </w:r>
    </w:p>
    <w:p w14:paraId="0C962482">
      <w:pPr>
        <w:spacing w:after="98" w:line="259" w:lineRule="auto"/>
        <w:ind w:left="0" w:firstLine="0"/>
        <w:jc w:val="left"/>
      </w:pPr>
      <w:r>
        <w:t xml:space="preserve"> </w:t>
      </w:r>
    </w:p>
    <w:p w14:paraId="770350A3">
      <w:pPr>
        <w:spacing w:after="0"/>
        <w:ind w:left="-5" w:right="770"/>
      </w:pPr>
      <w:r>
        <w:t xml:space="preserve">             EXECUTIVE BOARD                                                                           CHAIRPERSON </w:t>
      </w:r>
    </w:p>
    <w:p w14:paraId="55396D02">
      <w:pPr>
        <w:spacing w:after="0"/>
        <w:ind w:left="-5" w:right="770"/>
      </w:pPr>
      <w:r>
        <w:t xml:space="preserve">                     MEMBER                                                                               OF EXECUTIVE BOARD </w:t>
      </w:r>
    </w:p>
    <w:p w14:paraId="1717BFDE">
      <w:pPr>
        <w:spacing w:after="98" w:line="259" w:lineRule="auto"/>
        <w:ind w:left="0" w:firstLine="0"/>
        <w:jc w:val="left"/>
      </w:pPr>
      <w:r>
        <w:t xml:space="preserve"> </w:t>
      </w:r>
    </w:p>
    <w:p w14:paraId="05286ED6">
      <w:pPr>
        <w:spacing w:after="10" w:line="249" w:lineRule="auto"/>
        <w:ind w:left="-5" w:right="771"/>
      </w:pPr>
      <w:r>
        <w:t xml:space="preserve">            ________________                                                                              __________________ </w:t>
      </w:r>
    </w:p>
    <w:p w14:paraId="7B30AA48">
      <w:pPr>
        <w:spacing w:after="0"/>
        <w:ind w:left="-5" w:right="770"/>
      </w:pPr>
      <w:r>
        <w:t xml:space="preserve">                Tatjana Kuljak                                                                                       Una Sikimić, Ph.D. </w:t>
      </w:r>
    </w:p>
    <w:p w14:paraId="1501823F">
      <w:pPr>
        <w:spacing w:after="0" w:line="259" w:lineRule="auto"/>
        <w:ind w:left="0" w:firstLine="0"/>
        <w:jc w:val="left"/>
      </w:pPr>
      <w: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348" w:right="353" w:bottom="1505" w:left="1133"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E880">
    <w:pPr>
      <w:spacing w:after="98" w:line="259" w:lineRule="auto"/>
      <w:ind w:left="0" w:right="779" w:firstLine="0"/>
      <w:jc w:val="center"/>
    </w:pPr>
    <w:r>
      <w:fldChar w:fldCharType="begin"/>
    </w:r>
    <w:r>
      <w:instrText xml:space="preserve"> PAGE   \* MERGEFORMAT </w:instrText>
    </w:r>
    <w:r>
      <w:fldChar w:fldCharType="separate"/>
    </w:r>
    <w:r>
      <w:t>2</w:t>
    </w:r>
    <w:r>
      <w:fldChar w:fldCharType="end"/>
    </w:r>
    <w:r>
      <w:t xml:space="preserve"> </w:t>
    </w:r>
  </w:p>
  <w:p w14:paraId="012C34D8">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8DE0">
    <w:pPr>
      <w:spacing w:after="98" w:line="259" w:lineRule="auto"/>
      <w:ind w:left="0" w:right="779" w:firstLine="0"/>
      <w:jc w:val="center"/>
    </w:pPr>
    <w:r>
      <w:fldChar w:fldCharType="begin"/>
    </w:r>
    <w:r>
      <w:instrText xml:space="preserve"> PAGE   \* MERGEFORMAT </w:instrText>
    </w:r>
    <w:r>
      <w:fldChar w:fldCharType="separate"/>
    </w:r>
    <w:r>
      <w:t>2</w:t>
    </w:r>
    <w:r>
      <w:fldChar w:fldCharType="end"/>
    </w:r>
    <w:r>
      <w:t xml:space="preserve"> </w:t>
    </w:r>
  </w:p>
  <w:p w14:paraId="4FE5A8B6">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6274">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3" w:lineRule="auto"/>
      </w:pPr>
      <w:r>
        <w:separator/>
      </w:r>
    </w:p>
  </w:footnote>
  <w:footnote w:type="continuationSeparator" w:id="1">
    <w:p>
      <w:pPr>
        <w:spacing w:before="0" w:after="0" w:line="26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347E">
    <w:pPr>
      <w:spacing w:after="491" w:line="259" w:lineRule="auto"/>
      <w:ind w:left="0" w:firstLine="0"/>
      <w:jc w:val="right"/>
    </w:pPr>
    <w:r>
      <w:rPr>
        <w:rFonts w:ascii="Calibri" w:hAnsi="Calibri" w:eastAsia="Calibri" w:cs="Calibri"/>
      </w:rPr>
      <mc:AlternateContent>
        <mc:Choice Requires="wpg">
          <w:drawing>
            <wp:anchor distT="0" distB="0" distL="114300" distR="114300" simplePos="0" relativeHeight="251660288" behindDoc="0" locked="0" layoutInCell="1" allowOverlap="1">
              <wp:simplePos x="0" y="0"/>
              <wp:positionH relativeFrom="page">
                <wp:posOffset>718820</wp:posOffset>
              </wp:positionH>
              <wp:positionV relativeFrom="page">
                <wp:posOffset>190500</wp:posOffset>
              </wp:positionV>
              <wp:extent cx="1575435" cy="452755"/>
              <wp:effectExtent l="0" t="0" r="0" b="0"/>
              <wp:wrapSquare wrapText="bothSides"/>
              <wp:docPr id="30273" name="Group 30273"/>
              <wp:cNvGraphicFramePr/>
              <a:graphic xmlns:a="http://schemas.openxmlformats.org/drawingml/2006/main">
                <a:graphicData uri="http://schemas.microsoft.com/office/word/2010/wordprocessingGroup">
                  <wpg:wgp>
                    <wpg:cNvGrpSpPr/>
                    <wpg:grpSpPr>
                      <a:xfrm>
                        <a:off x="0" y="0"/>
                        <a:ext cx="1575181" cy="452755"/>
                        <a:chOff x="0" y="0"/>
                        <a:chExt cx="1575181" cy="452755"/>
                      </a:xfrm>
                    </wpg:grpSpPr>
                    <wps:wsp>
                      <wps:cNvPr id="30275" name="Rectangle 30275"/>
                      <wps:cNvSpPr/>
                      <wps:spPr>
                        <a:xfrm>
                          <a:off x="0" y="288069"/>
                          <a:ext cx="42517" cy="175004"/>
                        </a:xfrm>
                        <a:prstGeom prst="rect">
                          <a:avLst/>
                        </a:prstGeom>
                        <a:ln>
                          <a:noFill/>
                        </a:ln>
                      </wps:spPr>
                      <wps:txbx>
                        <w:txbxContent>
                          <w:p w14:paraId="35DEE3C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274" name="Picture 30274"/>
                        <pic:cNvPicPr/>
                      </pic:nvPicPr>
                      <pic:blipFill>
                        <a:blip r:embed="rId1"/>
                        <a:stretch>
                          <a:fillRect/>
                        </a:stretch>
                      </pic:blipFill>
                      <pic:spPr>
                        <a:xfrm>
                          <a:off x="4572" y="0"/>
                          <a:ext cx="1570609" cy="452755"/>
                        </a:xfrm>
                        <a:prstGeom prst="rect">
                          <a:avLst/>
                        </a:prstGeom>
                      </pic:spPr>
                    </pic:pic>
                  </wpg:wgp>
                </a:graphicData>
              </a:graphic>
            </wp:anchor>
          </w:drawing>
        </mc:Choice>
        <mc:Fallback>
          <w:pict>
            <v:group id="_x0000_s1026" o:spid="_x0000_s1026" o:spt="203" style="position:absolute;left:0pt;margin-left:56.6pt;margin-top:15pt;height:35.65pt;width:124.05pt;mso-position-horizontal-relative:page;mso-position-vertical-relative:page;mso-wrap-distance-bottom:0pt;mso-wrap-distance-left:9pt;mso-wrap-distance-right:9pt;mso-wrap-distance-top:0pt;z-index:251660288;mso-width-relative:page;mso-height-relative:page;" coordsize="1575181,452755" o:gfxdata="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">
              <o:lock v:ext="edit" aspectratio="f"/>
              <v:rect id="_x0000_s1026" o:spid="_x0000_s1026" o:spt="1" style="position:absolute;left:0;top:288069;height:175004;width:42517;" filled="f" stroked="f" coordsize="21600,21600" o:gfxdata="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jjV&#10;v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5DEE3CC">
                      <w:pPr>
                        <w:spacing w:after="160" w:line="259" w:lineRule="auto"/>
                        <w:ind w:left="0" w:firstLine="0"/>
                        <w:jc w:val="left"/>
                      </w:pPr>
                      <w:r>
                        <w:t xml:space="preserve"> </w:t>
                      </w:r>
                    </w:p>
                  </w:txbxContent>
                </v:textbox>
              </v:rect>
              <v:shape id="_x0000_s1026" o:spid="_x0000_s1026" o:spt="75" type="#_x0000_t75" style="position:absolute;left:4572;top:0;height:452755;width:1570609;" filled="f" o:preferrelative="t" stroked="f" coordsize="21600,21600" o:gfxdata="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yoIxr4A&#10;AADeAAAADwAAAAAAAAABACAAAAAiAAAAZHJzL2Rvd25yZXYueG1sUEsBAhQAFAAAAAgAh07iQDMv&#10;BZ47AAAAOQAAABAAAAAAAAAAAQAgAAAADQEAAGRycy9zaGFwZXhtbC54bWxQSwUGAAAAAAYABgBb&#10;AQAAtwMAAAAA&#10;">
                <v:fill on="f" focussize="0,0"/>
                <v:stroke on="f"/>
                <v:imagedata r:id="rId1" o:title=""/>
                <o:lock v:ext="edit" aspectratio="f"/>
              </v:shape>
              <w10:wrap type="square"/>
            </v:group>
          </w:pict>
        </mc:Fallback>
      </mc:AlternateContent>
    </w:r>
    <w:r>
      <w:rPr>
        <w:rFonts w:ascii="Calibri" w:hAnsi="Calibri" w:eastAsia="Calibri" w:cs="Calibri"/>
      </w:rPr>
      <w:tab/>
    </w:r>
    <w:r>
      <w:rPr>
        <w:rFonts w:ascii="Calibri" w:hAnsi="Calibri" w:eastAsia="Calibri" w:cs="Calibri"/>
      </w:rPr>
      <w:t xml:space="preserve">  </w:t>
    </w:r>
  </w:p>
  <w:p w14:paraId="200EB9D7">
    <w:pPr>
      <w:spacing w:after="0" w:line="259" w:lineRule="auto"/>
      <w:ind w:left="0" w:firstLine="0"/>
      <w:jc w:val="left"/>
    </w:pPr>
    <w:r>
      <w:rPr>
        <w:i/>
      </w:rPr>
      <w:t xml:space="preserve">Regulation on the Schedule of Charges of the Investment Banking Department                                                                    </w:t>
    </w:r>
    <w:r>
      <w:rPr>
        <w:sz w:val="20"/>
      </w:rPr>
      <w:t xml:space="preserve"> INTERNAL</w:t>
    </w:r>
    <w:r>
      <w:rPr>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FA60">
    <w:pPr>
      <w:spacing w:after="491" w:line="259" w:lineRule="auto"/>
      <w:ind w:left="0" w:firstLine="0"/>
      <w:jc w:val="right"/>
    </w:pPr>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page">
                <wp:posOffset>718820</wp:posOffset>
              </wp:positionH>
              <wp:positionV relativeFrom="page">
                <wp:posOffset>190500</wp:posOffset>
              </wp:positionV>
              <wp:extent cx="1575435" cy="452755"/>
              <wp:effectExtent l="0" t="0" r="0" b="0"/>
              <wp:wrapSquare wrapText="bothSides"/>
              <wp:docPr id="30303" name="Group 30303"/>
              <wp:cNvGraphicFramePr/>
              <a:graphic xmlns:a="http://schemas.openxmlformats.org/drawingml/2006/main">
                <a:graphicData uri="http://schemas.microsoft.com/office/word/2010/wordprocessingGroup">
                  <wpg:wgp>
                    <wpg:cNvGrpSpPr/>
                    <wpg:grpSpPr>
                      <a:xfrm>
                        <a:off x="0" y="0"/>
                        <a:ext cx="1575181" cy="452755"/>
                        <a:chOff x="0" y="0"/>
                        <a:chExt cx="1575181" cy="452755"/>
                      </a:xfrm>
                    </wpg:grpSpPr>
                    <wps:wsp>
                      <wps:cNvPr id="30305" name="Rectangle 30305"/>
                      <wps:cNvSpPr/>
                      <wps:spPr>
                        <a:xfrm>
                          <a:off x="0" y="288069"/>
                          <a:ext cx="42517" cy="175004"/>
                        </a:xfrm>
                        <a:prstGeom prst="rect">
                          <a:avLst/>
                        </a:prstGeom>
                        <a:ln>
                          <a:noFill/>
                        </a:ln>
                      </wps:spPr>
                      <wps:txbx>
                        <w:txbxContent>
                          <w:p w14:paraId="232724E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304" name="Picture 30304"/>
                        <pic:cNvPicPr/>
                      </pic:nvPicPr>
                      <pic:blipFill>
                        <a:blip r:embed="rId1"/>
                        <a:stretch>
                          <a:fillRect/>
                        </a:stretch>
                      </pic:blipFill>
                      <pic:spPr>
                        <a:xfrm>
                          <a:off x="4572" y="0"/>
                          <a:ext cx="1570609" cy="452755"/>
                        </a:xfrm>
                        <a:prstGeom prst="rect">
                          <a:avLst/>
                        </a:prstGeom>
                      </pic:spPr>
                    </pic:pic>
                  </wpg:wgp>
                </a:graphicData>
              </a:graphic>
            </wp:anchor>
          </w:drawing>
        </mc:Choice>
        <mc:Fallback>
          <w:pict>
            <v:group id="_x0000_s1026" o:spid="_x0000_s1026" o:spt="203" style="position:absolute;left:0pt;margin-left:56.6pt;margin-top:15pt;height:35.65pt;width:124.05pt;mso-position-horizontal-relative:page;mso-position-vertical-relative:page;mso-wrap-distance-bottom:0pt;mso-wrap-distance-left:9pt;mso-wrap-distance-right:9pt;mso-wrap-distance-top:0pt;z-index:251659264;mso-width-relative:page;mso-height-relative:page;" coordsize="1575181,452755" o:gfxdata="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">
              <o:lock v:ext="edit" aspectratio="f"/>
              <v:rect id="_x0000_s1026" o:spid="_x0000_s1026" o:spt="1" style="position:absolute;left:0;top:288069;height:175004;width:42517;" filled="f" stroked="f" coordsize="21600,21600" o:gfxdata="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N+p&#10;X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32724E0">
                      <w:pPr>
                        <w:spacing w:after="160" w:line="259" w:lineRule="auto"/>
                        <w:ind w:left="0" w:firstLine="0"/>
                        <w:jc w:val="left"/>
                      </w:pPr>
                      <w:r>
                        <w:t xml:space="preserve"> </w:t>
                      </w:r>
                    </w:p>
                  </w:txbxContent>
                </v:textbox>
              </v:rect>
              <v:shape id="_x0000_s1026" o:spid="_x0000_s1026" o:spt="75" type="#_x0000_t75" style="position:absolute;left:4572;top:0;height:452755;width:1570609;" filled="f" o:preferrelative="t" stroked="f" coordsize="21600,21600" o:gfxdata="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NdCa8AAAA&#10;3gAAAA8AAAAAAAAAAQAgAAAAIgAAAGRycy9kb3ducmV2LnhtbFBLAQIUABQAAAAIAIdO4kAzLwWe&#10;OwAAADkAAAAQAAAAAAAAAAEAIAAAAAsBAABkcnMvc2hhcGV4bWwueG1sUEsFBgAAAAAGAAYAWwEA&#10;ALUDAAAAAA==&#10;">
                <v:fill on="f" focussize="0,0"/>
                <v:stroke on="f"/>
                <v:imagedata r:id="rId1" o:title=""/>
                <o:lock v:ext="edit" aspectratio="f"/>
              </v:shape>
              <w10:wrap type="square"/>
            </v:group>
          </w:pict>
        </mc:Fallback>
      </mc:AlternateContent>
    </w:r>
    <w:r>
      <w:rPr>
        <w:rFonts w:ascii="Calibri" w:hAnsi="Calibri" w:eastAsia="Calibri" w:cs="Calibri"/>
      </w:rPr>
      <w:tab/>
    </w:r>
    <w:r>
      <w:rPr>
        <w:rFonts w:ascii="Calibri" w:hAnsi="Calibri" w:eastAsia="Calibri" w:cs="Calibri"/>
      </w:rPr>
      <w:t xml:space="preserve">  </w:t>
    </w:r>
  </w:p>
  <w:p w14:paraId="6769EFEB">
    <w:pPr>
      <w:spacing w:after="0" w:line="259" w:lineRule="auto"/>
      <w:ind w:left="0" w:firstLine="0"/>
      <w:jc w:val="left"/>
    </w:pPr>
    <w:r>
      <w:rPr>
        <w:i/>
      </w:rPr>
      <w:t xml:space="preserve">Pravilnik o tarifi naknada Odeljenja investicionog bankarstva                                                                    </w:t>
    </w:r>
    <w:r>
      <w:rPr>
        <w:sz w:val="20"/>
      </w:rPr>
      <w:t xml:space="preserve"> INTERNO</w:t>
    </w:r>
    <w:r>
      <w:rPr>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70E50">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B5275"/>
    <w:multiLevelType w:val="multilevel"/>
    <w:tmpl w:val="152B5275"/>
    <w:lvl w:ilvl="0" w:tentative="0">
      <w:start w:val="1"/>
      <w:numFmt w:val="bullet"/>
      <w:lvlText w:val="-"/>
      <w:lvlJc w:val="left"/>
      <w:pPr>
        <w:ind w:left="1"/>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187"/>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907"/>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627"/>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347"/>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067"/>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787"/>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507"/>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227"/>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1">
    <w:nsid w:val="1E2B0BDC"/>
    <w:multiLevelType w:val="multilevel"/>
    <w:tmpl w:val="1E2B0BDC"/>
    <w:lvl w:ilvl="0" w:tentative="0">
      <w:start w:val="1"/>
      <w:numFmt w:val="bullet"/>
      <w:lvlText w:val="o"/>
      <w:lvlJc w:val="left"/>
      <w:pPr>
        <w:ind w:left="1440" w:hanging="360"/>
      </w:pPr>
      <w:rPr>
        <w:rFonts w:hint="default" w:ascii="Courier New" w:hAnsi="Courier New" w:cs="Courier New"/>
        <w:sz w:val="20"/>
      </w:rPr>
    </w:lvl>
    <w:lvl w:ilvl="1" w:tentative="0">
      <w:start w:val="0"/>
      <w:numFmt w:val="bullet"/>
      <w:lvlText w:val=""/>
      <w:lvlJc w:val="left"/>
      <w:pPr>
        <w:ind w:left="2160" w:hanging="360"/>
      </w:pPr>
      <w:rPr>
        <w:rFonts w:hint="default" w:ascii="Symbol" w:hAnsi="Symbol" w:eastAsia="Courier New" w:cs="Courier New"/>
        <w:sz w:val="20"/>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F5819B1"/>
    <w:multiLevelType w:val="multilevel"/>
    <w:tmpl w:val="1F5819B1"/>
    <w:lvl w:ilvl="0" w:tentative="0">
      <w:start w:val="1"/>
      <w:numFmt w:val="bullet"/>
      <w:lvlText w:val="o"/>
      <w:lvlJc w:val="left"/>
      <w:pPr>
        <w:ind w:left="14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21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8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36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432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50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7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64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7200"/>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abstractNum w:abstractNumId="3">
    <w:nsid w:val="26781430"/>
    <w:multiLevelType w:val="multilevel"/>
    <w:tmpl w:val="26781430"/>
    <w:lvl w:ilvl="0" w:tentative="0">
      <w:start w:val="1"/>
      <w:numFmt w:val="bullet"/>
      <w:lvlText w:val="o"/>
      <w:lvlJc w:val="left"/>
      <w:pPr>
        <w:ind w:left="14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21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8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36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432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50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7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64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7200"/>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abstractNum w:abstractNumId="4">
    <w:nsid w:val="500A4EBA"/>
    <w:multiLevelType w:val="multilevel"/>
    <w:tmpl w:val="500A4EBA"/>
    <w:lvl w:ilvl="0" w:tentative="0">
      <w:start w:val="1"/>
      <w:numFmt w:val="bullet"/>
      <w:lvlText w:val="o"/>
      <w:lvlJc w:val="left"/>
      <w:pPr>
        <w:ind w:left="14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21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8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36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432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50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7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64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7200"/>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abstractNum w:abstractNumId="5">
    <w:nsid w:val="52F95224"/>
    <w:multiLevelType w:val="multilevel"/>
    <w:tmpl w:val="52F95224"/>
    <w:lvl w:ilvl="0" w:tentative="0">
      <w:start w:val="1"/>
      <w:numFmt w:val="bullet"/>
      <w:lvlText w:val="o"/>
      <w:lvlJc w:val="left"/>
      <w:pPr>
        <w:ind w:left="14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21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8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36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432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50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7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64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7200"/>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abstractNum w:abstractNumId="6">
    <w:nsid w:val="5D6774BB"/>
    <w:multiLevelType w:val="multilevel"/>
    <w:tmpl w:val="5D6774BB"/>
    <w:lvl w:ilvl="0" w:tentative="0">
      <w:start w:val="1"/>
      <w:numFmt w:val="bullet"/>
      <w:lvlText w:val="•"/>
      <w:lvlJc w:val="left"/>
      <w:pPr>
        <w:ind w:left="72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7">
    <w:nsid w:val="6E405403"/>
    <w:multiLevelType w:val="multilevel"/>
    <w:tmpl w:val="6E405403"/>
    <w:lvl w:ilvl="0" w:tentative="0">
      <w:start w:val="1"/>
      <w:numFmt w:val="bullet"/>
      <w:lvlText w:val="o"/>
      <w:lvlJc w:val="left"/>
      <w:pPr>
        <w:ind w:left="9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21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8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36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432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50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7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64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7200"/>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num w:numId="1">
    <w:abstractNumId w:val="1"/>
  </w:num>
  <w:num w:numId="2">
    <w:abstractNumId w:val="4"/>
  </w:num>
  <w:num w:numId="3">
    <w:abstractNumId w:val="7"/>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12"/>
    <w:rsid w:val="0003454E"/>
    <w:rsid w:val="000451DC"/>
    <w:rsid w:val="00064C35"/>
    <w:rsid w:val="000F6728"/>
    <w:rsid w:val="00147BCD"/>
    <w:rsid w:val="001875BC"/>
    <w:rsid w:val="001C5743"/>
    <w:rsid w:val="00276316"/>
    <w:rsid w:val="002944ED"/>
    <w:rsid w:val="002A1392"/>
    <w:rsid w:val="002C4371"/>
    <w:rsid w:val="002D3F48"/>
    <w:rsid w:val="002E01FD"/>
    <w:rsid w:val="002E1BAC"/>
    <w:rsid w:val="00304C8F"/>
    <w:rsid w:val="00327CBA"/>
    <w:rsid w:val="00354FB9"/>
    <w:rsid w:val="003C76E9"/>
    <w:rsid w:val="003D2FFC"/>
    <w:rsid w:val="003E74B3"/>
    <w:rsid w:val="003E7DB0"/>
    <w:rsid w:val="004130BC"/>
    <w:rsid w:val="00423038"/>
    <w:rsid w:val="00556C80"/>
    <w:rsid w:val="00557B6E"/>
    <w:rsid w:val="005C3FAC"/>
    <w:rsid w:val="005D0A42"/>
    <w:rsid w:val="005E1A33"/>
    <w:rsid w:val="00645B69"/>
    <w:rsid w:val="00692B8E"/>
    <w:rsid w:val="00697BEA"/>
    <w:rsid w:val="006A65AD"/>
    <w:rsid w:val="006D261B"/>
    <w:rsid w:val="006F2B8F"/>
    <w:rsid w:val="00782512"/>
    <w:rsid w:val="00826808"/>
    <w:rsid w:val="008445B6"/>
    <w:rsid w:val="00863E1C"/>
    <w:rsid w:val="00865ED7"/>
    <w:rsid w:val="008734DC"/>
    <w:rsid w:val="00883DC4"/>
    <w:rsid w:val="009D25E1"/>
    <w:rsid w:val="009F1488"/>
    <w:rsid w:val="009F2C33"/>
    <w:rsid w:val="00A0243B"/>
    <w:rsid w:val="00A073C2"/>
    <w:rsid w:val="00A7072E"/>
    <w:rsid w:val="00A90AB9"/>
    <w:rsid w:val="00AA3F16"/>
    <w:rsid w:val="00B0653A"/>
    <w:rsid w:val="00B12ED2"/>
    <w:rsid w:val="00B27AD3"/>
    <w:rsid w:val="00B85B63"/>
    <w:rsid w:val="00BA24DD"/>
    <w:rsid w:val="00BD2038"/>
    <w:rsid w:val="00BE2B7E"/>
    <w:rsid w:val="00C0418B"/>
    <w:rsid w:val="00C15563"/>
    <w:rsid w:val="00C249A6"/>
    <w:rsid w:val="00CC52E5"/>
    <w:rsid w:val="00D01272"/>
    <w:rsid w:val="00D27E6A"/>
    <w:rsid w:val="00D31F3D"/>
    <w:rsid w:val="00D32433"/>
    <w:rsid w:val="00D51B7D"/>
    <w:rsid w:val="00D51C45"/>
    <w:rsid w:val="00D80A36"/>
    <w:rsid w:val="00DA5FE9"/>
    <w:rsid w:val="00DE38C8"/>
    <w:rsid w:val="00E02AC6"/>
    <w:rsid w:val="00E2595B"/>
    <w:rsid w:val="00E75D9F"/>
    <w:rsid w:val="00E85245"/>
    <w:rsid w:val="00E9261F"/>
    <w:rsid w:val="00EC26DE"/>
    <w:rsid w:val="00F07DCC"/>
    <w:rsid w:val="00F23D03"/>
    <w:rsid w:val="00F3607F"/>
    <w:rsid w:val="00F406B9"/>
    <w:rsid w:val="26E46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5" w:line="263" w:lineRule="auto"/>
      <w:ind w:left="10" w:hanging="10"/>
      <w:jc w:val="both"/>
    </w:pPr>
    <w:rPr>
      <w:rFonts w:ascii="Arial" w:hAnsi="Arial" w:eastAsia="Arial" w:cs="Arial"/>
      <w:color w:val="000000"/>
      <w:kern w:val="2"/>
      <w:sz w:val="22"/>
      <w:szCs w:val="24"/>
      <w:lang w:val="en-GB" w:eastAsia="en-GB" w:bidi="ar-SA"/>
      <w14:ligatures w14:val="standardContextual"/>
    </w:rPr>
  </w:style>
  <w:style w:type="paragraph" w:styleId="2">
    <w:name w:val="heading 1"/>
    <w:next w:val="1"/>
    <w:link w:val="7"/>
    <w:qFormat/>
    <w:uiPriority w:val="9"/>
    <w:pPr>
      <w:keepNext/>
      <w:keepLines/>
      <w:spacing w:after="101" w:line="259" w:lineRule="auto"/>
      <w:ind w:left="10" w:hanging="10"/>
      <w:outlineLvl w:val="0"/>
    </w:pPr>
    <w:rPr>
      <w:rFonts w:ascii="Arial" w:hAnsi="Arial" w:eastAsia="Arial" w:cs="Arial"/>
      <w:b/>
      <w:color w:val="000000"/>
      <w:kern w:val="2"/>
      <w:sz w:val="22"/>
      <w:szCs w:val="24"/>
      <w:lang w:val="en-GB" w:eastAsia="en-GB" w:bidi="ar-SA"/>
      <w14:ligatures w14:val="standardContextual"/>
    </w:rPr>
  </w:style>
  <w:style w:type="paragraph" w:styleId="3">
    <w:name w:val="heading 2"/>
    <w:next w:val="1"/>
    <w:link w:val="8"/>
    <w:unhideWhenUsed/>
    <w:qFormat/>
    <w:uiPriority w:val="9"/>
    <w:pPr>
      <w:keepNext/>
      <w:keepLines/>
      <w:spacing w:after="162" w:line="259" w:lineRule="auto"/>
      <w:ind w:left="10" w:hanging="10"/>
      <w:outlineLvl w:val="1"/>
    </w:pPr>
    <w:rPr>
      <w:rFonts w:ascii="Arial" w:hAnsi="Arial" w:eastAsia="Arial" w:cs="Arial"/>
      <w:b/>
      <w:color w:val="000000"/>
      <w:kern w:val="2"/>
      <w:sz w:val="22"/>
      <w:szCs w:val="24"/>
      <w:lang w:val="en-GB" w:eastAsia="en-GB" w:bidi="ar-SA"/>
      <w14:ligatures w14:val="standardContextual"/>
    </w:rPr>
  </w:style>
  <w:style w:type="paragraph" w:styleId="4">
    <w:name w:val="heading 3"/>
    <w:next w:val="1"/>
    <w:link w:val="9"/>
    <w:unhideWhenUsed/>
    <w:qFormat/>
    <w:uiPriority w:val="9"/>
    <w:pPr>
      <w:keepNext/>
      <w:keepLines/>
      <w:spacing w:after="162" w:line="259" w:lineRule="auto"/>
      <w:ind w:left="10" w:hanging="10"/>
      <w:outlineLvl w:val="2"/>
    </w:pPr>
    <w:rPr>
      <w:rFonts w:ascii="Arial" w:hAnsi="Arial" w:eastAsia="Arial" w:cs="Arial"/>
      <w:b/>
      <w:color w:val="000000"/>
      <w:kern w:val="2"/>
      <w:sz w:val="22"/>
      <w:szCs w:val="24"/>
      <w:lang w:val="en-GB" w:eastAsia="en-GB"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customStyle="1" w:styleId="7">
    <w:name w:val="Heading 1 Char"/>
    <w:link w:val="2"/>
    <w:qFormat/>
    <w:uiPriority w:val="0"/>
    <w:rPr>
      <w:rFonts w:ascii="Arial" w:hAnsi="Arial" w:eastAsia="Arial" w:cs="Arial"/>
      <w:b/>
      <w:color w:val="000000"/>
      <w:sz w:val="22"/>
    </w:rPr>
  </w:style>
  <w:style w:type="character" w:customStyle="1" w:styleId="8">
    <w:name w:val="Heading 2 Char"/>
    <w:link w:val="3"/>
    <w:qFormat/>
    <w:uiPriority w:val="0"/>
    <w:rPr>
      <w:rFonts w:ascii="Arial" w:hAnsi="Arial" w:eastAsia="Arial" w:cs="Arial"/>
      <w:b/>
      <w:color w:val="000000"/>
      <w:sz w:val="22"/>
    </w:rPr>
  </w:style>
  <w:style w:type="character" w:customStyle="1" w:styleId="9">
    <w:name w:val="Heading 3 Char"/>
    <w:link w:val="4"/>
    <w:qFormat/>
    <w:uiPriority w:val="0"/>
    <w:rPr>
      <w:rFonts w:ascii="Arial" w:hAnsi="Arial" w:eastAsia="Arial" w:cs="Arial"/>
      <w:b/>
      <w:color w:val="000000"/>
      <w:sz w:val="22"/>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4370A-A413-4F36-A704-BA9313F9B736}">
  <ds:schemaRefs/>
</ds:datastoreItem>
</file>

<file path=docProps/app.xml><?xml version="1.0" encoding="utf-8"?>
<Properties xmlns="http://schemas.openxmlformats.org/officeDocument/2006/extended-properties" xmlns:vt="http://schemas.openxmlformats.org/officeDocument/2006/docPropsVTypes">
  <Template>Normal</Template>
  <Pages>14</Pages>
  <Words>2897</Words>
  <Characters>15383</Characters>
  <Lines>801</Lines>
  <Paragraphs>426</Paragraphs>
  <TotalTime>2311</TotalTime>
  <ScaleCrop>false</ScaleCrop>
  <LinksUpToDate>false</LinksUpToDate>
  <CharactersWithSpaces>18595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2026-05-26T15:11:00Z</dcterms:created>
  <dc:creator>Ana Trkulja</dc:creator>
  <cp:lastModifiedBy>Beo Almas</cp:lastModifiedBy>
  <dcterms:modified xsi:type="dcterms:W3CDTF">2026-06-01T08:37:10Z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8E1DBE50EFDE45BB9714A4E342B001F0_13</vt:lpwstr>
  </property>
</Properties>
</file>