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71D0B">
      <w:pPr>
        <w:pStyle w:val="2"/>
        <w:spacing w:before="1"/>
      </w:pPr>
      <w:bookmarkStart w:id="1" w:name="_GoBack"/>
      <w:bookmarkEnd w:id="1"/>
      <w:r>
        <w:drawing>
          <wp:anchor distT="0" distB="0" distL="0" distR="0" simplePos="0" relativeHeight="251659264" behindDoc="0" locked="0" layoutInCell="1" allowOverlap="1">
            <wp:simplePos x="0" y="0"/>
            <wp:positionH relativeFrom="page">
              <wp:posOffset>914400</wp:posOffset>
            </wp:positionH>
            <wp:positionV relativeFrom="page">
              <wp:posOffset>457200</wp:posOffset>
            </wp:positionV>
            <wp:extent cx="2176145" cy="628015"/>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76145" cy="628015"/>
                    </a:xfrm>
                    <a:prstGeom prst="rect">
                      <a:avLst/>
                    </a:prstGeom>
                  </pic:spPr>
                </pic:pic>
              </a:graphicData>
            </a:graphic>
          </wp:anchor>
        </w:drawing>
      </w:r>
      <w:r>
        <w:t>THE EXECUTIVE BOARD</w:t>
      </w:r>
    </w:p>
    <w:p w14:paraId="3861EEFC">
      <w:pPr>
        <w:pStyle w:val="6"/>
        <w:spacing w:before="182"/>
      </w:pPr>
      <w:r>
        <w:t>Number:</w:t>
      </w:r>
      <w:r>
        <w:rPr>
          <w:spacing w:val="-2"/>
        </w:rPr>
        <w:t xml:space="preserve"> </w:t>
      </w:r>
      <w:r>
        <w:t>3129-</w:t>
      </w:r>
      <w:r>
        <w:rPr>
          <w:spacing w:val="-2"/>
        </w:rPr>
        <w:t>1/2026</w:t>
      </w:r>
    </w:p>
    <w:p w14:paraId="201A1809">
      <w:pPr>
        <w:pStyle w:val="6"/>
        <w:spacing w:before="21" w:line="256" w:lineRule="auto"/>
        <w:ind w:right="7951"/>
      </w:pPr>
      <w:r>
        <w:t>Code:</w:t>
      </w:r>
      <w:r>
        <w:rPr>
          <w:spacing w:val="-12"/>
        </w:rPr>
        <w:t xml:space="preserve"> </w:t>
      </w:r>
      <w:r>
        <w:t>INF</w:t>
      </w:r>
      <w:r>
        <w:rPr>
          <w:spacing w:val="-12"/>
        </w:rPr>
        <w:t xml:space="preserve"> </w:t>
      </w:r>
      <w:r>
        <w:t>-</w:t>
      </w:r>
      <w:r>
        <w:rPr>
          <w:spacing w:val="-12"/>
        </w:rPr>
        <w:t xml:space="preserve"> </w:t>
      </w:r>
      <w:r>
        <w:t>001 Version: 2</w:t>
      </w:r>
    </w:p>
    <w:p w14:paraId="2418C69F">
      <w:pPr>
        <w:pStyle w:val="6"/>
        <w:spacing w:before="5"/>
      </w:pPr>
      <w:r>
        <w:t>Date:</w:t>
      </w:r>
      <w:r>
        <w:rPr>
          <w:spacing w:val="-5"/>
        </w:rPr>
        <w:t xml:space="preserve"> </w:t>
      </w:r>
      <w:r>
        <w:rPr>
          <w:spacing w:val="-2"/>
        </w:rPr>
        <w:t>29.01.2026.</w:t>
      </w:r>
    </w:p>
    <w:p w14:paraId="658881D3">
      <w:pPr>
        <w:pStyle w:val="6"/>
        <w:spacing w:before="18"/>
      </w:pPr>
      <w:r>
        <w:t>Status:</w:t>
      </w:r>
      <w:r>
        <w:rPr>
          <w:spacing w:val="-5"/>
        </w:rPr>
        <w:t xml:space="preserve"> </w:t>
      </w:r>
      <w:r>
        <w:rPr>
          <w:spacing w:val="-2"/>
        </w:rPr>
        <w:t>Adopted</w:t>
      </w:r>
    </w:p>
    <w:p w14:paraId="40E9611B">
      <w:pPr>
        <w:pStyle w:val="6"/>
      </w:pPr>
    </w:p>
    <w:p w14:paraId="543F2066">
      <w:pPr>
        <w:pStyle w:val="6"/>
      </w:pPr>
    </w:p>
    <w:p w14:paraId="14CACFDC">
      <w:pPr>
        <w:pStyle w:val="6"/>
      </w:pPr>
    </w:p>
    <w:p w14:paraId="4394E67D">
      <w:pPr>
        <w:pStyle w:val="6"/>
      </w:pPr>
    </w:p>
    <w:p w14:paraId="425B32C2">
      <w:pPr>
        <w:pStyle w:val="6"/>
      </w:pPr>
    </w:p>
    <w:p w14:paraId="3FB72527">
      <w:pPr>
        <w:pStyle w:val="6"/>
        <w:spacing w:before="232"/>
      </w:pPr>
    </w:p>
    <w:p w14:paraId="79D190C1">
      <w:pPr>
        <w:pStyle w:val="6"/>
        <w:jc w:val="center"/>
        <w:rPr>
          <w:b/>
        </w:rPr>
      </w:pPr>
      <w:r>
        <w:rPr>
          <w:b/>
          <w:bCs/>
        </w:rPr>
        <w:t>INFORMATION FOR CLIENTS</w:t>
      </w:r>
      <w:r>
        <w:rPr>
          <w:b/>
          <w:bCs/>
        </w:rPr>
        <w:br w:type="textWrapping"/>
      </w:r>
      <w:r>
        <w:rPr>
          <w:b/>
          <w:bCs/>
        </w:rPr>
        <w:t>on the Investment and Ancillary Services Provided by the Investment Banking Department of ALTA Banka a.d. Beograd</w:t>
      </w:r>
    </w:p>
    <w:p w14:paraId="77AB435B">
      <w:pPr>
        <w:pStyle w:val="6"/>
        <w:rPr>
          <w:b/>
        </w:rPr>
      </w:pPr>
    </w:p>
    <w:p w14:paraId="0043F505">
      <w:pPr>
        <w:pStyle w:val="6"/>
        <w:rPr>
          <w:b/>
        </w:rPr>
      </w:pPr>
    </w:p>
    <w:p w14:paraId="4A1B7724">
      <w:pPr>
        <w:pStyle w:val="6"/>
        <w:rPr>
          <w:b/>
        </w:rPr>
      </w:pPr>
    </w:p>
    <w:p w14:paraId="1AB66E02">
      <w:pPr>
        <w:pStyle w:val="6"/>
        <w:rPr>
          <w:b/>
        </w:rPr>
      </w:pPr>
    </w:p>
    <w:p w14:paraId="63A700FD">
      <w:pPr>
        <w:pStyle w:val="6"/>
        <w:rPr>
          <w:b/>
        </w:rPr>
      </w:pPr>
    </w:p>
    <w:p w14:paraId="18DDE7F1">
      <w:pPr>
        <w:pStyle w:val="6"/>
        <w:rPr>
          <w:b/>
        </w:rPr>
      </w:pPr>
    </w:p>
    <w:p w14:paraId="1417CFF6">
      <w:pPr>
        <w:pStyle w:val="6"/>
        <w:rPr>
          <w:b/>
        </w:rPr>
      </w:pPr>
    </w:p>
    <w:p w14:paraId="7091C7D0">
      <w:pPr>
        <w:pStyle w:val="6"/>
        <w:rPr>
          <w:b/>
        </w:rPr>
      </w:pPr>
    </w:p>
    <w:p w14:paraId="23AB604A">
      <w:pPr>
        <w:pStyle w:val="6"/>
        <w:rPr>
          <w:b/>
        </w:rPr>
      </w:pPr>
    </w:p>
    <w:p w14:paraId="0099B5C0">
      <w:pPr>
        <w:pStyle w:val="6"/>
        <w:rPr>
          <w:b/>
        </w:rPr>
      </w:pPr>
    </w:p>
    <w:p w14:paraId="23DE4970">
      <w:pPr>
        <w:pStyle w:val="6"/>
        <w:rPr>
          <w:b/>
        </w:rPr>
      </w:pPr>
    </w:p>
    <w:p w14:paraId="21B41A7E">
      <w:pPr>
        <w:pStyle w:val="6"/>
        <w:rPr>
          <w:b/>
        </w:rPr>
      </w:pPr>
    </w:p>
    <w:p w14:paraId="156919B9">
      <w:pPr>
        <w:pStyle w:val="6"/>
        <w:rPr>
          <w:b/>
        </w:rPr>
      </w:pPr>
    </w:p>
    <w:p w14:paraId="7C0C840A">
      <w:pPr>
        <w:pStyle w:val="6"/>
        <w:rPr>
          <w:b/>
        </w:rPr>
      </w:pPr>
    </w:p>
    <w:p w14:paraId="0732742D">
      <w:pPr>
        <w:pStyle w:val="6"/>
        <w:rPr>
          <w:b/>
        </w:rPr>
      </w:pPr>
    </w:p>
    <w:p w14:paraId="359F99DF">
      <w:pPr>
        <w:pStyle w:val="6"/>
        <w:rPr>
          <w:b/>
        </w:rPr>
      </w:pPr>
    </w:p>
    <w:p w14:paraId="46DECA57">
      <w:pPr>
        <w:pStyle w:val="6"/>
        <w:rPr>
          <w:b/>
        </w:rPr>
      </w:pPr>
    </w:p>
    <w:p w14:paraId="6C054CA3">
      <w:pPr>
        <w:pStyle w:val="6"/>
        <w:spacing w:before="60"/>
        <w:rPr>
          <w:b/>
        </w:rPr>
      </w:pPr>
    </w:p>
    <w:p w14:paraId="6EB2F308">
      <w:pPr>
        <w:pStyle w:val="6"/>
        <w:spacing w:before="1"/>
        <w:ind w:right="356"/>
        <w:jc w:val="center"/>
        <w:sectPr>
          <w:headerReference r:id="rId3" w:type="default"/>
          <w:type w:val="continuous"/>
          <w:pgSz w:w="12240" w:h="15840"/>
          <w:pgMar w:top="1740" w:right="1080" w:bottom="280" w:left="1440" w:header="1523" w:footer="0" w:gutter="0"/>
          <w:pgNumType w:start="1"/>
          <w:cols w:space="720" w:num="1"/>
        </w:sectPr>
      </w:pPr>
      <w:r>
        <w:t>Belgrade,</w:t>
      </w:r>
      <w:r>
        <w:rPr>
          <w:spacing w:val="-3"/>
        </w:rPr>
        <w:t xml:space="preserve"> </w:t>
      </w:r>
      <w:r>
        <w:t>January</w:t>
      </w:r>
      <w:r>
        <w:rPr>
          <w:spacing w:val="-3"/>
        </w:rPr>
        <w:t xml:space="preserve"> </w:t>
      </w:r>
      <w:r>
        <w:t>2026</w:t>
      </w:r>
    </w:p>
    <w:p w14:paraId="62227A08">
      <w:pPr>
        <w:pStyle w:val="6"/>
        <w:spacing w:before="17"/>
      </w:pPr>
    </w:p>
    <w:p w14:paraId="423E5A19">
      <w:pPr>
        <w:pStyle w:val="6"/>
        <w:spacing w:before="251"/>
        <w:jc w:val="both"/>
        <w:rPr>
          <w:lang w:val="en-US"/>
        </w:rPr>
      </w:pPr>
      <w:r>
        <w:t xml:space="preserve">Pursuant to Article 179 of the Capital Market Law ("Official Gazette of the Republic of </w:t>
      </w:r>
      <w:r>
        <w:rPr>
          <w:lang w:val="en-US"/>
        </w:rPr>
        <w:t>Serbia", No. 129/2021), Articles 11–26 of the Rulebook on the Rules of Conduct of an Investment Firm in the Provision of Services, and Article 33, paragraph 3, Item 14) of the Articles of Association of ALTA Banka a.d. Belgrade (consolidated text) dated 6 June 2025, the Executive Board of ALTA Banka a.d. Beograd, at its 10th session held on 29 January 2026, adopted the following:</w:t>
      </w:r>
    </w:p>
    <w:p w14:paraId="6D135A6E">
      <w:pPr>
        <w:pStyle w:val="6"/>
        <w:spacing w:before="251"/>
        <w:jc w:val="center"/>
        <w:rPr>
          <w:lang w:val="en-US"/>
        </w:rPr>
      </w:pPr>
      <w:r>
        <w:rPr>
          <w:b/>
          <w:bCs/>
          <w:lang w:val="en-US"/>
        </w:rPr>
        <w:t>INFORMATION FOR CLIENTS</w:t>
      </w:r>
      <w:r>
        <w:rPr>
          <w:lang w:val="en-US"/>
        </w:rPr>
        <w:br w:type="textWrapping"/>
      </w:r>
      <w:r>
        <w:rPr>
          <w:b/>
          <w:bCs/>
          <w:lang w:val="en-US"/>
        </w:rPr>
        <w:t>on the Investment and Ancillary Services Provided by the Investment Banking Department of ALTA Banka a.d. Belgrade</w:t>
      </w:r>
    </w:p>
    <w:p w14:paraId="1A8116A3">
      <w:pPr>
        <w:pStyle w:val="6"/>
        <w:spacing w:before="251"/>
        <w:rPr>
          <w:lang w:val="en-US"/>
        </w:rPr>
      </w:pPr>
      <w:r>
        <w:rPr>
          <w:b/>
          <w:bCs/>
          <w:lang w:val="en-US"/>
        </w:rPr>
        <w:t>BANK INFORMATION</w:t>
      </w:r>
    </w:p>
    <w:p w14:paraId="654E3B9C">
      <w:pPr>
        <w:pStyle w:val="6"/>
        <w:rPr>
          <w:lang w:val="en-US"/>
        </w:rPr>
      </w:pPr>
      <w:r>
        <w:rPr>
          <w:lang w:val="en-US"/>
        </w:rPr>
        <w:t>Name: ALTA Banka a.d. Beograd – Investment Banking Department (hereinafter: the "Bank")</w:t>
      </w:r>
    </w:p>
    <w:p w14:paraId="0551CC0F">
      <w:pPr>
        <w:pStyle w:val="6"/>
        <w:rPr>
          <w:lang w:val="en-US"/>
        </w:rPr>
      </w:pPr>
      <w:r>
        <w:rPr>
          <w:lang w:val="en-US"/>
        </w:rPr>
        <w:t>Company Registration Number: 07074433</w:t>
      </w:r>
    </w:p>
    <w:p w14:paraId="2E0DFCA5">
      <w:pPr>
        <w:pStyle w:val="6"/>
        <w:rPr>
          <w:lang w:val="en-US"/>
        </w:rPr>
      </w:pPr>
      <w:r>
        <w:rPr>
          <w:lang w:val="en-US"/>
        </w:rPr>
        <w:t>Tax Identification Number (TIN): 100001829</w:t>
      </w:r>
    </w:p>
    <w:p w14:paraId="69A20B53">
      <w:pPr>
        <w:pStyle w:val="6"/>
        <w:rPr>
          <w:lang w:val="en-US"/>
        </w:rPr>
      </w:pPr>
      <w:r>
        <w:rPr>
          <w:lang w:val="en-US"/>
        </w:rPr>
        <w:t>Address: Bulevar Zorana Đinđića 121, 11070 Novi Beograd, Republic of Serbia</w:t>
      </w:r>
    </w:p>
    <w:p w14:paraId="089950A3">
      <w:pPr>
        <w:pStyle w:val="6"/>
        <w:rPr>
          <w:lang w:val="en-US"/>
        </w:rPr>
      </w:pPr>
      <w:r>
        <w:rPr>
          <w:lang w:val="en-US"/>
        </w:rPr>
        <w:t xml:space="preserve">Website: </w:t>
      </w:r>
      <w:r>
        <w:fldChar w:fldCharType="begin"/>
      </w:r>
      <w:r>
        <w:instrText xml:space="preserve"> HYPERLINK "http://www.altabanka.rs" </w:instrText>
      </w:r>
      <w:r>
        <w:fldChar w:fldCharType="separate"/>
      </w:r>
      <w:r>
        <w:rPr>
          <w:rStyle w:val="7"/>
          <w:lang w:val="en-US"/>
        </w:rPr>
        <w:t>www.altabanka.rs</w:t>
      </w:r>
      <w:r>
        <w:rPr>
          <w:rStyle w:val="7"/>
          <w:lang w:val="en-US"/>
        </w:rPr>
        <w:fldChar w:fldCharType="end"/>
      </w:r>
    </w:p>
    <w:p w14:paraId="7CB73CC0">
      <w:pPr>
        <w:pStyle w:val="6"/>
        <w:rPr>
          <w:lang w:val="en-US"/>
        </w:rPr>
      </w:pPr>
      <w:r>
        <w:rPr>
          <w:lang w:val="en-US"/>
        </w:rPr>
        <w:t xml:space="preserve">Contact Telephone Numbers: </w:t>
      </w:r>
    </w:p>
    <w:p w14:paraId="1CA29327">
      <w:pPr>
        <w:pStyle w:val="6"/>
        <w:rPr>
          <w:lang w:val="en-US"/>
        </w:rPr>
      </w:pPr>
      <w:r>
        <w:rPr>
          <w:lang w:val="en-US"/>
        </w:rPr>
        <w:t xml:space="preserve">E-mail: </w:t>
      </w:r>
      <w:r>
        <w:fldChar w:fldCharType="begin"/>
      </w:r>
      <w:r>
        <w:instrText xml:space="preserve"> HYPERLINK "mailto:broker@altabanka.rs" </w:instrText>
      </w:r>
      <w:r>
        <w:fldChar w:fldCharType="separate"/>
      </w:r>
      <w:r>
        <w:rPr>
          <w:rStyle w:val="7"/>
          <w:lang w:val="en-US"/>
        </w:rPr>
        <w:t>broker@altabanka.rs</w:t>
      </w:r>
      <w:r>
        <w:rPr>
          <w:rStyle w:val="7"/>
          <w:lang w:val="en-US"/>
        </w:rPr>
        <w:fldChar w:fldCharType="end"/>
      </w:r>
    </w:p>
    <w:p w14:paraId="23F40D52">
      <w:pPr>
        <w:pStyle w:val="6"/>
        <w:rPr>
          <w:lang w:val="en-US"/>
        </w:rPr>
      </w:pPr>
      <w:r>
        <w:rPr>
          <w:lang w:val="en-US"/>
        </w:rPr>
        <w:t>Business Hours for Client Services</w:t>
      </w:r>
      <w:r>
        <w:rPr>
          <w:b/>
          <w:bCs/>
          <w:lang w:val="en-US"/>
        </w:rPr>
        <w:t>:</w:t>
      </w:r>
      <w:r>
        <w:rPr>
          <w:lang w:val="en-US"/>
        </w:rPr>
        <w:t xml:space="preserve"> 09:00 a.m. – 4:00 p.m.</w:t>
      </w:r>
    </w:p>
    <w:p w14:paraId="7D532121">
      <w:pPr>
        <w:pStyle w:val="6"/>
        <w:spacing w:before="251"/>
      </w:pPr>
    </w:p>
    <w:p w14:paraId="3DC60EDD">
      <w:pPr>
        <w:pStyle w:val="6"/>
        <w:spacing w:before="2"/>
        <w:rPr>
          <w:lang w:val="en-US"/>
        </w:rPr>
      </w:pPr>
      <w:r>
        <w:rPr>
          <w:lang w:val="en-US"/>
        </w:rPr>
        <w:t>License Number and Date of Issuance:</w:t>
      </w:r>
    </w:p>
    <w:p w14:paraId="7235080E">
      <w:pPr>
        <w:pStyle w:val="6"/>
        <w:spacing w:before="2"/>
        <w:rPr>
          <w:lang w:val="en-US"/>
        </w:rPr>
      </w:pPr>
      <w:r>
        <w:rPr>
          <w:lang w:val="en-US"/>
        </w:rPr>
        <w:t>Decision of the Securities Commission No. 2/1-102-1986/15-24 dated 3 October 2024.</w:t>
      </w:r>
    </w:p>
    <w:p w14:paraId="7782F4C6">
      <w:pPr>
        <w:pStyle w:val="6"/>
        <w:spacing w:before="2"/>
        <w:rPr>
          <w:lang w:val="en-US"/>
        </w:rPr>
      </w:pPr>
      <w:r>
        <w:rPr>
          <w:lang w:val="en-US"/>
        </w:rPr>
        <w:t>Competent Authority Granting the License:</w:t>
      </w:r>
    </w:p>
    <w:p w14:paraId="75F53B26">
      <w:pPr>
        <w:pStyle w:val="6"/>
        <w:spacing w:before="2"/>
        <w:rPr>
          <w:lang w:val="en-US"/>
        </w:rPr>
      </w:pPr>
      <w:r>
        <w:rPr>
          <w:lang w:val="en-US"/>
        </w:rPr>
        <w:t>Securities Commission of the Republic of Serbia (hereinafter: the "Securities Commission").</w:t>
      </w:r>
    </w:p>
    <w:p w14:paraId="5BEB1E4F">
      <w:pPr>
        <w:pStyle w:val="6"/>
        <w:spacing w:before="2"/>
        <w:rPr>
          <w:lang w:val="en-US"/>
        </w:rPr>
      </w:pPr>
      <w:r>
        <w:rPr>
          <w:lang w:val="en-US"/>
        </w:rPr>
        <w:t>Address of the Competent Authority Granting the License:</w:t>
      </w:r>
    </w:p>
    <w:p w14:paraId="65F6A021">
      <w:pPr>
        <w:pStyle w:val="6"/>
        <w:spacing w:before="2"/>
        <w:rPr>
          <w:lang w:val="en-US"/>
        </w:rPr>
      </w:pPr>
      <w:r>
        <w:rPr>
          <w:lang w:val="en-US"/>
        </w:rPr>
        <w:t>Omladinskih brigada 1, Belgrade, Republic of Serbia.</w:t>
      </w:r>
    </w:p>
    <w:p w14:paraId="17BF933C">
      <w:pPr>
        <w:pStyle w:val="6"/>
        <w:spacing w:before="2"/>
        <w:rPr>
          <w:lang w:val="en-US"/>
        </w:rPr>
      </w:pPr>
      <w:r>
        <w:rPr>
          <w:lang w:val="en-US"/>
        </w:rPr>
        <w:t>Date of Admission to Membership in the Central Securities Depository and Clearing House: 8.10.2024</w:t>
      </w:r>
    </w:p>
    <w:p w14:paraId="2B801640">
      <w:pPr>
        <w:pStyle w:val="6"/>
        <w:spacing w:before="2"/>
        <w:rPr>
          <w:lang w:val="en-US"/>
        </w:rPr>
      </w:pPr>
      <w:r>
        <w:rPr>
          <w:lang w:val="en-US"/>
        </w:rPr>
        <w:t>Date of Admission to Membership of the Belgrade Stock Exchange: 10.12.2024</w:t>
      </w:r>
    </w:p>
    <w:p w14:paraId="1D0A5291">
      <w:pPr>
        <w:pStyle w:val="6"/>
        <w:spacing w:before="2"/>
      </w:pPr>
    </w:p>
    <w:p w14:paraId="300E4F3B">
      <w:pPr>
        <w:pStyle w:val="6"/>
        <w:spacing w:before="179"/>
      </w:pPr>
    </w:p>
    <w:p w14:paraId="33A95000">
      <w:pPr>
        <w:spacing w:line="259" w:lineRule="auto"/>
        <w:jc w:val="both"/>
        <w:rPr>
          <w:b/>
          <w:bCs/>
          <w:lang w:val="en-US"/>
        </w:rPr>
      </w:pPr>
      <w:r>
        <w:rPr>
          <w:b/>
          <w:bCs/>
          <w:lang w:val="en-US"/>
        </w:rPr>
        <w:t>INFORMATION ON THE SERVICES PROVIDED BY THE BANK</w:t>
      </w:r>
    </w:p>
    <w:p w14:paraId="26403809">
      <w:pPr>
        <w:spacing w:line="259" w:lineRule="auto"/>
        <w:jc w:val="both"/>
        <w:rPr>
          <w:b/>
          <w:bCs/>
          <w:lang w:val="en-US"/>
        </w:rPr>
      </w:pPr>
    </w:p>
    <w:p w14:paraId="016ED6A9">
      <w:pPr>
        <w:spacing w:line="259" w:lineRule="auto"/>
        <w:jc w:val="both"/>
        <w:rPr>
          <w:lang w:val="en-US"/>
        </w:rPr>
      </w:pPr>
      <w:r>
        <w:rPr>
          <w:lang w:val="en-US"/>
        </w:rPr>
        <w:t>The types of investment services and activities that the Bank is authorized to perform pursuant to the license granted by the Securities Commission include:</w:t>
      </w:r>
    </w:p>
    <w:p w14:paraId="3FCCB9AE">
      <w:pPr>
        <w:spacing w:line="259" w:lineRule="auto"/>
        <w:jc w:val="both"/>
        <w:rPr>
          <w:lang w:val="en-US"/>
        </w:rPr>
      </w:pPr>
    </w:p>
    <w:p w14:paraId="142DCFE3">
      <w:pPr>
        <w:pStyle w:val="12"/>
        <w:spacing w:line="259" w:lineRule="auto"/>
        <w:jc w:val="both"/>
        <w:rPr>
          <w:lang w:val="en-US"/>
        </w:rPr>
      </w:pPr>
      <w:r>
        <w:rPr>
          <w:lang w:val="en-US"/>
        </w:rPr>
        <w:t>• Reception and transmission of orders in relation to one or more financial instruments.</w:t>
      </w:r>
    </w:p>
    <w:p w14:paraId="3C8CFDAD">
      <w:pPr>
        <w:pStyle w:val="12"/>
        <w:spacing w:line="259" w:lineRule="auto"/>
        <w:jc w:val="both"/>
        <w:rPr>
          <w:lang w:val="en-US"/>
        </w:rPr>
      </w:pPr>
      <w:r>
        <w:rPr>
          <w:lang w:val="en-US"/>
        </w:rPr>
        <w:t>• Execution of orders on behalf of clients.</w:t>
      </w:r>
    </w:p>
    <w:p w14:paraId="07EC9C65">
      <w:pPr>
        <w:pStyle w:val="12"/>
        <w:spacing w:line="259" w:lineRule="auto"/>
        <w:jc w:val="both"/>
        <w:rPr>
          <w:lang w:val="en-US"/>
        </w:rPr>
      </w:pPr>
      <w:r>
        <w:rPr>
          <w:lang w:val="en-US"/>
        </w:rPr>
        <w:t>• Dealing on own account.</w:t>
      </w:r>
    </w:p>
    <w:p w14:paraId="1B3895E0">
      <w:pPr>
        <w:pStyle w:val="12"/>
        <w:spacing w:line="259" w:lineRule="auto"/>
        <w:jc w:val="both"/>
        <w:rPr>
          <w:lang w:val="en-US"/>
        </w:rPr>
      </w:pPr>
      <w:r>
        <w:rPr>
          <w:lang w:val="en-US"/>
        </w:rPr>
        <w:t>• Portfolio management.</w:t>
      </w:r>
    </w:p>
    <w:p w14:paraId="64DA7B47">
      <w:pPr>
        <w:pStyle w:val="12"/>
        <w:spacing w:line="259" w:lineRule="auto"/>
        <w:jc w:val="both"/>
        <w:rPr>
          <w:lang w:val="en-US"/>
        </w:rPr>
      </w:pPr>
      <w:r>
        <w:rPr>
          <w:lang w:val="en-US"/>
        </w:rPr>
        <w:t>• Investment advice.</w:t>
      </w:r>
    </w:p>
    <w:p w14:paraId="2CB848E2">
      <w:pPr>
        <w:pStyle w:val="12"/>
        <w:spacing w:line="259" w:lineRule="auto"/>
        <w:jc w:val="both"/>
        <w:rPr>
          <w:lang w:val="en-US"/>
        </w:rPr>
      </w:pPr>
      <w:r>
        <w:rPr>
          <w:lang w:val="en-US"/>
        </w:rPr>
        <w:t>• Placement of financial instruments without a firm commitment basis.</w:t>
      </w:r>
    </w:p>
    <w:p w14:paraId="641D24EC">
      <w:pPr>
        <w:spacing w:line="259" w:lineRule="auto"/>
        <w:jc w:val="both"/>
        <w:rPr>
          <w:lang w:val="en-US"/>
        </w:rPr>
      </w:pPr>
    </w:p>
    <w:p w14:paraId="34D0C3C5">
      <w:pPr>
        <w:spacing w:line="259" w:lineRule="auto"/>
        <w:jc w:val="both"/>
        <w:rPr>
          <w:lang w:val="en-US"/>
        </w:rPr>
      </w:pPr>
      <w:r>
        <w:rPr>
          <w:lang w:val="en-US"/>
        </w:rPr>
        <w:t>In addition to the above, the Bank provides the following ancillary services:</w:t>
      </w:r>
    </w:p>
    <w:p w14:paraId="47F322D9">
      <w:pPr>
        <w:pStyle w:val="12"/>
        <w:spacing w:line="259" w:lineRule="auto"/>
        <w:ind w:left="567" w:hanging="207"/>
        <w:jc w:val="both"/>
        <w:rPr>
          <w:lang w:val="en-US"/>
        </w:rPr>
      </w:pPr>
      <w:r>
        <w:rPr>
          <w:lang w:val="en-US"/>
        </w:rPr>
        <w:t>• Safekeeping and administration of financial instruments for the account of clients (custody services) and related services, such as the administration of cash collateral, excluding the maintenance and operation of securities accounts  referred to in Chapter XIV of the Capital Market Law.</w:t>
      </w:r>
    </w:p>
    <w:p w14:paraId="57BEA1BA">
      <w:pPr>
        <w:pStyle w:val="6"/>
        <w:rPr>
          <w:lang w:val="en-US"/>
        </w:rPr>
      </w:pPr>
      <w:r>
        <w:rPr>
          <w:lang w:val="en-US"/>
        </w:rPr>
        <w:t xml:space="preserve">       •  Granting credit or loans to an investor to enable the execution of transactions in one or more financial instruments, </w:t>
      </w:r>
    </w:p>
    <w:p w14:paraId="457F84F6">
      <w:pPr>
        <w:pStyle w:val="6"/>
        <w:rPr>
          <w:lang w:val="en-US"/>
        </w:rPr>
      </w:pPr>
    </w:p>
    <w:p w14:paraId="6343104B">
      <w:pPr>
        <w:pStyle w:val="6"/>
        <w:rPr>
          <w:lang w:val="en-US"/>
        </w:rPr>
      </w:pPr>
      <w:r>
        <w:rPr>
          <w:lang w:val="en-US"/>
        </w:rPr>
        <w:t xml:space="preserve">    where the firm granting the credit or loan is involved in such transactions. </w:t>
      </w:r>
    </w:p>
    <w:p w14:paraId="1ED4F9AB">
      <w:pPr>
        <w:pStyle w:val="6"/>
        <w:rPr>
          <w:lang w:val="en-US"/>
        </w:rPr>
      </w:pPr>
      <w:r>
        <w:rPr>
          <w:lang w:val="en-US"/>
        </w:rPr>
        <w:t xml:space="preserve">•   Advising undertakings on capital structure, business strategy, mergers and acquisitions, and related matters. </w:t>
      </w:r>
    </w:p>
    <w:p w14:paraId="6B7AE897">
      <w:pPr>
        <w:pStyle w:val="6"/>
        <w:rPr>
          <w:lang w:val="en-US"/>
        </w:rPr>
      </w:pPr>
      <w:r>
        <w:rPr>
          <w:lang w:val="en-US"/>
        </w:rPr>
        <w:t xml:space="preserve">•   Foreign exchange services where these are connected to the provision of investment services. </w:t>
      </w:r>
    </w:p>
    <w:p w14:paraId="629B0F49">
      <w:pPr>
        <w:pStyle w:val="6"/>
      </w:pPr>
      <w:r>
        <w:rPr>
          <w:lang w:val="en-US"/>
        </w:rPr>
        <w:t>•   Investment research and financial analysis, or other forms of general recommendations relating to transactions in financial instruments.</w:t>
      </w:r>
    </w:p>
    <w:p w14:paraId="71A65482">
      <w:pPr>
        <w:pStyle w:val="6"/>
        <w:spacing w:before="106"/>
      </w:pPr>
    </w:p>
    <w:p w14:paraId="27B7CAC6">
      <w:pPr>
        <w:pStyle w:val="6"/>
        <w:spacing w:before="83"/>
        <w:rPr>
          <w:b/>
          <w:bCs/>
          <w:lang w:val="en-US"/>
        </w:rPr>
      </w:pPr>
      <w:r>
        <w:rPr>
          <w:b/>
          <w:bCs/>
          <w:lang w:val="en-US"/>
        </w:rPr>
        <w:t>COMMUNICATION WITH CLIENTS</w:t>
      </w:r>
    </w:p>
    <w:p w14:paraId="5B074D90">
      <w:pPr>
        <w:pStyle w:val="6"/>
        <w:spacing w:before="83"/>
        <w:jc w:val="both"/>
        <w:rPr>
          <w:lang w:val="en-US"/>
        </w:rPr>
      </w:pPr>
      <w:r>
        <w:rPr>
          <w:lang w:val="en-US"/>
        </w:rPr>
        <w:t>The Bank communicates with clients orally and in writing in the Serbian language. At the client's request, documentation may also be prepared in the English language; however, in the event of any inconsistency between the versions, the Serbian-language version shall prevail. Communication shall be conducted in the manner most suitable for the client, in accordance with the arrangements agreed upon when establishing the business relationship. The client has the right to request, in writing, a change of contact details or the preferred method of communication.</w:t>
      </w:r>
    </w:p>
    <w:p w14:paraId="4237662D">
      <w:pPr>
        <w:pStyle w:val="6"/>
        <w:spacing w:before="83"/>
        <w:jc w:val="both"/>
        <w:rPr>
          <w:lang w:val="en-US"/>
        </w:rPr>
      </w:pPr>
      <w:r>
        <w:rPr>
          <w:lang w:val="en-US"/>
        </w:rPr>
        <w:t>The Bank may record or otherwise document communications with clients, provided that the client has been informed thereof in advance. Written communication may be conducted by mail, e-mail, internet applications, or other appropriate electronic means. The Bank shall exchange with the client documentation related to the services, activities, or ancillary services provided and agreed between the client and the Bank, using the address and/or e-mail address supplied by the client to the Bank or specified in the relevant Agreement.</w:t>
      </w:r>
    </w:p>
    <w:p w14:paraId="181DA4BB">
      <w:pPr>
        <w:pStyle w:val="6"/>
        <w:spacing w:before="83"/>
        <w:jc w:val="both"/>
        <w:rPr>
          <w:lang w:val="en-US"/>
        </w:rPr>
      </w:pPr>
      <w:r>
        <w:rPr>
          <w:lang w:val="en-US"/>
        </w:rPr>
        <w:t xml:space="preserve">Clients are required to notify the Bank of any changes to material information necessary for the proper functioning of the agreed communication arrangements, as well as any information relevant to notifications and to the Bank's fulfilment of its obligations in providing investment services, activities, and ancillary services. The Bank publishes its contact details on its website at </w:t>
      </w:r>
      <w:r>
        <w:fldChar w:fldCharType="begin"/>
      </w:r>
      <w:r>
        <w:instrText xml:space="preserve"> HYPERLINK "http://www.altabanka.rs" </w:instrText>
      </w:r>
      <w:r>
        <w:fldChar w:fldCharType="separate"/>
      </w:r>
      <w:r>
        <w:rPr>
          <w:rStyle w:val="7"/>
          <w:lang w:val="en-US"/>
        </w:rPr>
        <w:t>www.altabanka.rs</w:t>
      </w:r>
      <w:r>
        <w:rPr>
          <w:rStyle w:val="7"/>
          <w:lang w:val="en-US"/>
        </w:rPr>
        <w:fldChar w:fldCharType="end"/>
      </w:r>
      <w:r>
        <w:rPr>
          <w:lang w:val="en-US"/>
        </w:rPr>
        <w:t>. All information provided by the Bank to existing and potential clients, including marketing communications, must be accurate, clear, and not misleading. Marketing materials must be clearly identified as such.</w:t>
      </w:r>
    </w:p>
    <w:p w14:paraId="444546BE">
      <w:pPr>
        <w:pStyle w:val="6"/>
        <w:spacing w:before="83"/>
        <w:rPr>
          <w:lang w:val="en-US"/>
        </w:rPr>
      </w:pPr>
      <w:r>
        <w:rPr>
          <w:lang w:val="en-US"/>
        </w:rPr>
        <w:t xml:space="preserve">Information is available on the Bank's website at </w:t>
      </w:r>
      <w:r>
        <w:fldChar w:fldCharType="begin"/>
      </w:r>
      <w:r>
        <w:instrText xml:space="preserve"> HYPERLINK "http://www.altabanka.rs" </w:instrText>
      </w:r>
      <w:r>
        <w:fldChar w:fldCharType="separate"/>
      </w:r>
      <w:r>
        <w:rPr>
          <w:rStyle w:val="7"/>
          <w:lang w:val="en-US"/>
        </w:rPr>
        <w:t>www.altabanka.rs</w:t>
      </w:r>
      <w:r>
        <w:rPr>
          <w:rStyle w:val="7"/>
          <w:lang w:val="en-US"/>
        </w:rPr>
        <w:fldChar w:fldCharType="end"/>
      </w:r>
      <w:r>
        <w:rPr>
          <w:lang w:val="en-US"/>
        </w:rPr>
        <w:t xml:space="preserve"> and may also be provided to clients through other means upon request.</w:t>
      </w:r>
    </w:p>
    <w:p w14:paraId="70BCA491">
      <w:pPr>
        <w:pStyle w:val="15"/>
        <w:rPr>
          <w:rFonts w:ascii="Arial Narrow" w:hAnsi="Arial Narrow"/>
          <w:sz w:val="22"/>
          <w:szCs w:val="22"/>
        </w:rPr>
      </w:pPr>
      <w:r>
        <w:rPr>
          <w:rStyle w:val="9"/>
          <w:rFonts w:ascii="Arial Narrow" w:hAnsi="Arial Narrow"/>
          <w:sz w:val="22"/>
          <w:szCs w:val="22"/>
        </w:rPr>
        <w:t>METHODS OF PLACING ORDERS</w:t>
      </w:r>
    </w:p>
    <w:p w14:paraId="1002478A">
      <w:pPr>
        <w:pStyle w:val="15"/>
        <w:rPr>
          <w:rFonts w:ascii="Arial Narrow" w:hAnsi="Arial Narrow"/>
          <w:sz w:val="22"/>
          <w:szCs w:val="22"/>
        </w:rPr>
      </w:pPr>
      <w:r>
        <w:rPr>
          <w:rFonts w:ascii="Arial Narrow" w:hAnsi="Arial Narrow"/>
          <w:sz w:val="22"/>
          <w:szCs w:val="22"/>
        </w:rPr>
        <w:t>The Bank may receive client orders through the following channels:</w:t>
      </w:r>
    </w:p>
    <w:p w14:paraId="427F2C29">
      <w:pPr>
        <w:pStyle w:val="15"/>
        <w:spacing w:before="0" w:beforeAutospacing="0" w:after="0" w:afterAutospacing="0"/>
        <w:ind w:firstLine="720"/>
        <w:rPr>
          <w:rFonts w:ascii="Arial Narrow" w:hAnsi="Arial Narrow"/>
          <w:sz w:val="22"/>
          <w:szCs w:val="22"/>
        </w:rPr>
      </w:pPr>
      <w:r>
        <w:rPr>
          <w:rFonts w:ascii="Arial Narrow" w:hAnsi="Arial Narrow"/>
          <w:sz w:val="22"/>
          <w:szCs w:val="22"/>
        </w:rPr>
        <w:t>• In writing (in person).</w:t>
      </w:r>
    </w:p>
    <w:p w14:paraId="23CDEF1F">
      <w:pPr>
        <w:pStyle w:val="15"/>
        <w:spacing w:before="0" w:beforeAutospacing="0" w:after="0" w:afterAutospacing="0"/>
        <w:ind w:firstLine="720"/>
        <w:rPr>
          <w:rFonts w:ascii="Arial Narrow" w:hAnsi="Arial Narrow"/>
          <w:sz w:val="22"/>
          <w:szCs w:val="22"/>
        </w:rPr>
      </w:pPr>
      <w:r>
        <w:rPr>
          <w:rFonts w:ascii="Arial Narrow" w:hAnsi="Arial Narrow"/>
          <w:sz w:val="22"/>
          <w:szCs w:val="22"/>
        </w:rPr>
        <w:t>• Electronically, through the application.</w:t>
      </w:r>
    </w:p>
    <w:p w14:paraId="2E5B4404">
      <w:pPr>
        <w:pStyle w:val="15"/>
        <w:spacing w:before="0" w:beforeAutospacing="0" w:after="0" w:afterAutospacing="0"/>
        <w:ind w:firstLine="720"/>
        <w:rPr>
          <w:rFonts w:ascii="Arial Narrow" w:hAnsi="Arial Narrow"/>
          <w:sz w:val="22"/>
          <w:szCs w:val="22"/>
        </w:rPr>
      </w:pPr>
      <w:r>
        <w:rPr>
          <w:rFonts w:ascii="Arial Narrow" w:hAnsi="Arial Narrow"/>
          <w:sz w:val="22"/>
          <w:szCs w:val="22"/>
        </w:rPr>
        <w:t>• By e-mail (subject to subsequent delivery of the original order).</w:t>
      </w:r>
    </w:p>
    <w:p w14:paraId="7E4D196D">
      <w:pPr>
        <w:pStyle w:val="15"/>
        <w:spacing w:before="0" w:beforeAutospacing="0" w:after="0" w:afterAutospacing="0"/>
        <w:ind w:firstLine="720"/>
        <w:rPr>
          <w:rFonts w:ascii="Arial Narrow" w:hAnsi="Arial Narrow"/>
          <w:sz w:val="22"/>
          <w:szCs w:val="22"/>
        </w:rPr>
      </w:pPr>
      <w:r>
        <w:rPr>
          <w:rFonts w:ascii="Arial Narrow" w:hAnsi="Arial Narrow"/>
          <w:sz w:val="22"/>
          <w:szCs w:val="22"/>
        </w:rPr>
        <w:t>• By telephone.</w:t>
      </w:r>
    </w:p>
    <w:p w14:paraId="6ED571D7">
      <w:pPr>
        <w:pStyle w:val="15"/>
        <w:spacing w:before="0" w:beforeAutospacing="0" w:after="0" w:afterAutospacing="0"/>
        <w:ind w:firstLine="720"/>
        <w:rPr>
          <w:rFonts w:ascii="Arial Narrow" w:hAnsi="Arial Narrow"/>
          <w:sz w:val="22"/>
          <w:szCs w:val="22"/>
        </w:rPr>
      </w:pPr>
      <w:r>
        <w:rPr>
          <w:rFonts w:ascii="Arial Narrow" w:hAnsi="Arial Narrow"/>
          <w:sz w:val="22"/>
          <w:szCs w:val="22"/>
        </w:rPr>
        <w:t>• Through other electronically secured communication systems (SWIFT, Bloomberg, Reuters, etc.).</w:t>
      </w:r>
    </w:p>
    <w:p w14:paraId="190F8280">
      <w:pPr>
        <w:pStyle w:val="15"/>
        <w:jc w:val="both"/>
        <w:rPr>
          <w:rFonts w:ascii="Arial Narrow" w:hAnsi="Arial Narrow"/>
          <w:sz w:val="22"/>
          <w:szCs w:val="22"/>
        </w:rPr>
      </w:pPr>
      <w:r>
        <w:rPr>
          <w:rFonts w:ascii="Arial Narrow" w:hAnsi="Arial Narrow"/>
          <w:sz w:val="22"/>
          <w:szCs w:val="22"/>
        </w:rPr>
        <w:t xml:space="preserve">A client may place an order in person at the Bank's registered office or at authorized branches. Orders are placed by completing and signing a standardized order form. The Bank shall accept a placed order provided that the client's details correspond to those established during the previous identification process. If the details differ, the Bank shall not accept the order until the client provides appropriate documentation enabling identification in accordance with the relevant changes. </w:t>
      </w:r>
    </w:p>
    <w:p w14:paraId="030E366E">
      <w:pPr>
        <w:pStyle w:val="15"/>
        <w:tabs>
          <w:tab w:val="left" w:pos="1843"/>
        </w:tabs>
        <w:jc w:val="both"/>
        <w:rPr>
          <w:rFonts w:ascii="Arial Narrow" w:hAnsi="Arial Narrow"/>
          <w:sz w:val="22"/>
          <w:szCs w:val="22"/>
        </w:rPr>
      </w:pPr>
      <w:r>
        <w:rPr>
          <w:rFonts w:ascii="Arial Narrow" w:hAnsi="Arial Narrow"/>
          <w:sz w:val="22"/>
          <w:szCs w:val="22"/>
        </w:rPr>
        <w:t xml:space="preserve">For orders submitted electronically, the client is required to comply with the user instructions for the Alta Trader application, available on the Bank's website at </w:t>
      </w:r>
      <w:r>
        <w:fldChar w:fldCharType="begin"/>
      </w:r>
      <w:r>
        <w:instrText xml:space="preserve"> HYPERLINK "http://www.altabanka.rs" </w:instrText>
      </w:r>
      <w:r>
        <w:fldChar w:fldCharType="separate"/>
      </w:r>
      <w:r>
        <w:rPr>
          <w:rStyle w:val="7"/>
          <w:rFonts w:ascii="Arial Narrow" w:hAnsi="Arial Narrow"/>
          <w:sz w:val="22"/>
          <w:szCs w:val="22"/>
        </w:rPr>
        <w:t>www.altabanka.rs</w:t>
      </w:r>
      <w:r>
        <w:rPr>
          <w:rStyle w:val="7"/>
          <w:rFonts w:ascii="Arial Narrow" w:hAnsi="Arial Narrow"/>
          <w:sz w:val="22"/>
          <w:szCs w:val="22"/>
        </w:rPr>
        <w:fldChar w:fldCharType="end"/>
      </w:r>
      <w:r>
        <w:rPr>
          <w:rFonts w:ascii="Arial Narrow" w:hAnsi="Arial Narrow"/>
          <w:sz w:val="22"/>
          <w:szCs w:val="22"/>
        </w:rPr>
        <w:t>.</w:t>
      </w:r>
    </w:p>
    <w:p w14:paraId="772E1991">
      <w:pPr>
        <w:pStyle w:val="15"/>
        <w:tabs>
          <w:tab w:val="left" w:pos="1843"/>
        </w:tabs>
        <w:jc w:val="both"/>
        <w:rPr>
          <w:rFonts w:ascii="Arial Narrow" w:hAnsi="Arial Narrow"/>
          <w:sz w:val="22"/>
          <w:szCs w:val="22"/>
        </w:rPr>
      </w:pPr>
      <w:r>
        <w:rPr>
          <w:rFonts w:ascii="Arial Narrow" w:hAnsi="Arial Narrow"/>
          <w:sz w:val="22"/>
          <w:szCs w:val="22"/>
        </w:rPr>
        <w:t xml:space="preserve">The Bank reserves the right to refuse to enter into an agreement for the use of the application without any obligation to inform the client of the reasons for such refusal. Telephone numbers designated for the receipt of orders are published on the Bank's website at </w:t>
      </w:r>
      <w:r>
        <w:fldChar w:fldCharType="begin"/>
      </w:r>
      <w:r>
        <w:instrText xml:space="preserve"> HYPERLINK "http://www.altabanka.rs" </w:instrText>
      </w:r>
      <w:r>
        <w:fldChar w:fldCharType="separate"/>
      </w:r>
      <w:r>
        <w:rPr>
          <w:rStyle w:val="7"/>
          <w:rFonts w:ascii="Arial Narrow" w:hAnsi="Arial Narrow"/>
          <w:sz w:val="22"/>
          <w:szCs w:val="22"/>
        </w:rPr>
        <w:t>www.altabanka.rs</w:t>
      </w:r>
      <w:r>
        <w:rPr>
          <w:rStyle w:val="7"/>
          <w:rFonts w:ascii="Arial Narrow" w:hAnsi="Arial Narrow"/>
          <w:sz w:val="22"/>
          <w:szCs w:val="22"/>
        </w:rPr>
        <w:fldChar w:fldCharType="end"/>
      </w:r>
      <w:r>
        <w:rPr>
          <w:rFonts w:ascii="Arial Narrow" w:hAnsi="Arial Narrow"/>
          <w:sz w:val="22"/>
          <w:szCs w:val="22"/>
        </w:rPr>
        <w:t>.</w:t>
      </w:r>
    </w:p>
    <w:p w14:paraId="5BC9F0EE">
      <w:pPr>
        <w:pStyle w:val="15"/>
        <w:rPr>
          <w:rFonts w:ascii="Arial Narrow" w:hAnsi="Arial Narrow"/>
          <w:sz w:val="22"/>
          <w:szCs w:val="22"/>
        </w:rPr>
      </w:pPr>
    </w:p>
    <w:p w14:paraId="3E97C610">
      <w:pPr>
        <w:pStyle w:val="15"/>
        <w:jc w:val="both"/>
        <w:rPr>
          <w:rFonts w:ascii="Arial Narrow" w:hAnsi="Arial Narrow"/>
          <w:sz w:val="22"/>
          <w:szCs w:val="22"/>
        </w:rPr>
      </w:pPr>
      <w:r>
        <w:rPr>
          <w:rFonts w:ascii="Arial Narrow" w:hAnsi="Arial Narrow"/>
          <w:sz w:val="22"/>
          <w:szCs w:val="22"/>
        </w:rPr>
        <w:t>When receiving orders by telephone, the Bank ensures reliable recording and retention of telephone conversations, records the exact time of receipt of the order, identifies the telephone number from which the order is submitted, and verifies the identity of the client placing the order.</w:t>
      </w:r>
    </w:p>
    <w:p w14:paraId="5F962D5A">
      <w:pPr>
        <w:pStyle w:val="8"/>
        <w:jc w:val="both"/>
        <w:rPr>
          <w:rFonts w:ascii="Arial Narrow" w:hAnsi="Arial Narrow"/>
          <w:sz w:val="22"/>
          <w:szCs w:val="22"/>
        </w:rPr>
      </w:pPr>
      <w:r>
        <w:rPr>
          <w:rFonts w:ascii="Arial Narrow" w:hAnsi="Arial Narrow"/>
          <w:sz w:val="22"/>
          <w:szCs w:val="22"/>
        </w:rPr>
        <w:t>The Bank may enter into an agreement for the provision of investment services or ancillary services with another investment firm on behalf of the client.</w:t>
      </w:r>
    </w:p>
    <w:p w14:paraId="1D4457BE">
      <w:pPr>
        <w:pStyle w:val="3"/>
        <w:spacing w:before="166"/>
        <w:rPr>
          <w:lang w:val="en-US"/>
        </w:rPr>
      </w:pPr>
      <w:r>
        <w:rPr>
          <w:lang w:val="en-US"/>
        </w:rPr>
        <w:t>SAFEKEEPING OF CLIENT ASSETS</w:t>
      </w:r>
    </w:p>
    <w:p w14:paraId="61E6D06A">
      <w:pPr>
        <w:pStyle w:val="3"/>
        <w:spacing w:before="166"/>
        <w:rPr>
          <w:b w:val="0"/>
          <w:bCs w:val="0"/>
          <w:lang w:val="en-US"/>
        </w:rPr>
      </w:pPr>
      <w:r>
        <w:rPr>
          <w:b w:val="0"/>
          <w:bCs w:val="0"/>
          <w:lang w:val="en-US"/>
        </w:rPr>
        <w:t>The Bank is required to:</w:t>
      </w:r>
    </w:p>
    <w:p w14:paraId="6ED65BC8">
      <w:pPr>
        <w:pStyle w:val="3"/>
        <w:spacing w:before="166"/>
        <w:ind w:left="720"/>
        <w:jc w:val="both"/>
        <w:rPr>
          <w:b w:val="0"/>
          <w:bCs w:val="0"/>
          <w:lang w:val="en-US"/>
        </w:rPr>
      </w:pPr>
      <w:r>
        <w:rPr>
          <w:b w:val="0"/>
          <w:bCs w:val="0"/>
          <w:lang w:val="en-US"/>
        </w:rPr>
        <w:t>• Maintain records and accounts that enable a clear segregation of each client's assets from the assets of other clients and from the Bank's own assets.</w:t>
      </w:r>
    </w:p>
    <w:p w14:paraId="308BE95D">
      <w:pPr>
        <w:pStyle w:val="3"/>
        <w:spacing w:before="166"/>
        <w:ind w:left="720"/>
        <w:jc w:val="both"/>
        <w:rPr>
          <w:b w:val="0"/>
          <w:bCs w:val="0"/>
          <w:lang w:val="en-US"/>
        </w:rPr>
      </w:pPr>
      <w:r>
        <w:rPr>
          <w:b w:val="0"/>
          <w:bCs w:val="0"/>
          <w:lang w:val="en-US"/>
        </w:rPr>
        <w:t>• Maintain accurate records and accounts, particularly with respect to clients' financial instruments and cash funds, which are available for audit and inspection.</w:t>
      </w:r>
    </w:p>
    <w:p w14:paraId="0284693C">
      <w:pPr>
        <w:pStyle w:val="3"/>
        <w:spacing w:before="166"/>
        <w:ind w:left="720"/>
        <w:jc w:val="both"/>
        <w:rPr>
          <w:b w:val="0"/>
          <w:bCs w:val="0"/>
          <w:lang w:val="en-US"/>
        </w:rPr>
      </w:pPr>
      <w:r>
        <w:rPr>
          <w:b w:val="0"/>
          <w:bCs w:val="0"/>
          <w:lang w:val="en-US"/>
        </w:rPr>
        <w:t>• Regularly reconcile its internal accounts and records with the accounts and records of third parties holding client assets.</w:t>
      </w:r>
    </w:p>
    <w:p w14:paraId="2CC5CB1C">
      <w:pPr>
        <w:pStyle w:val="3"/>
        <w:spacing w:before="166"/>
        <w:ind w:left="720"/>
        <w:jc w:val="both"/>
        <w:rPr>
          <w:b w:val="0"/>
          <w:bCs w:val="0"/>
          <w:lang w:val="en-US"/>
        </w:rPr>
      </w:pPr>
      <w:r>
        <w:rPr>
          <w:b w:val="0"/>
          <w:bCs w:val="0"/>
          <w:lang w:val="en-US"/>
        </w:rPr>
        <w:t>• Take all necessary measures to ensure that clients' financial instruments deposited with a third party are distinguished from the Bank's own financial instruments and those of the third party, through the use of separate accounts or other appropriate measures.</w:t>
      </w:r>
    </w:p>
    <w:p w14:paraId="3B0DC060">
      <w:pPr>
        <w:pStyle w:val="3"/>
        <w:spacing w:before="166"/>
        <w:ind w:left="720"/>
        <w:jc w:val="both"/>
        <w:rPr>
          <w:b w:val="0"/>
          <w:bCs w:val="0"/>
          <w:lang w:val="en-US"/>
        </w:rPr>
      </w:pPr>
      <w:r>
        <w:rPr>
          <w:b w:val="0"/>
          <w:bCs w:val="0"/>
          <w:lang w:val="en-US"/>
        </w:rPr>
        <w:t>• Ensure that clients' cash funds deposited with a central bank, credit institution, or foreign bank are held in accounts separate from those containing funds belonging to the Bank.</w:t>
      </w:r>
    </w:p>
    <w:p w14:paraId="1999ED22">
      <w:pPr>
        <w:pStyle w:val="3"/>
        <w:spacing w:before="166"/>
        <w:ind w:left="720"/>
        <w:jc w:val="both"/>
        <w:rPr>
          <w:b w:val="0"/>
          <w:bCs w:val="0"/>
          <w:lang w:val="en-US"/>
        </w:rPr>
      </w:pPr>
      <w:r>
        <w:rPr>
          <w:b w:val="0"/>
          <w:bCs w:val="0"/>
          <w:lang w:val="en-US"/>
        </w:rPr>
        <w:t>• Establish an appropriate organizational structure designed to minimize the risk of loss or diminution of client assets resulting from misuse, fraud, inadequate administration, improper record-keeping, or negligence.</w:t>
      </w:r>
    </w:p>
    <w:p w14:paraId="412AE50D">
      <w:pPr>
        <w:pStyle w:val="3"/>
        <w:spacing w:before="166"/>
        <w:jc w:val="both"/>
        <w:rPr>
          <w:b w:val="0"/>
          <w:bCs w:val="0"/>
          <w:lang w:val="en-US"/>
        </w:rPr>
      </w:pPr>
      <w:r>
        <w:rPr>
          <w:b w:val="0"/>
          <w:bCs w:val="0"/>
          <w:lang w:val="en-US"/>
        </w:rPr>
        <w:t>Where the laws of the country in which clients' cash funds or financial instruments are held prevent compliance with these obligations, the Bank shall establish alternative mechanisms for the protection of client assets.</w:t>
      </w:r>
    </w:p>
    <w:p w14:paraId="78C3F1F0">
      <w:pPr>
        <w:pStyle w:val="3"/>
        <w:jc w:val="both"/>
        <w:rPr>
          <w:lang w:val="en-US"/>
        </w:rPr>
      </w:pPr>
    </w:p>
    <w:p w14:paraId="5FEFCA50">
      <w:pPr>
        <w:pStyle w:val="3"/>
        <w:rPr>
          <w:lang w:val="en-US"/>
        </w:rPr>
      </w:pPr>
      <w:r>
        <w:rPr>
          <w:lang w:val="en-US"/>
        </w:rPr>
        <w:t>Handling of Clients' Financial Instruments</w:t>
      </w:r>
    </w:p>
    <w:p w14:paraId="7E0731EE">
      <w:pPr>
        <w:pStyle w:val="3"/>
        <w:rPr>
          <w:b w:val="0"/>
          <w:bCs w:val="0"/>
          <w:lang w:val="en-US"/>
        </w:rPr>
      </w:pPr>
    </w:p>
    <w:p w14:paraId="0D314618">
      <w:pPr>
        <w:pStyle w:val="3"/>
        <w:jc w:val="both"/>
        <w:rPr>
          <w:b w:val="0"/>
          <w:bCs w:val="0"/>
          <w:lang w:val="en-US"/>
        </w:rPr>
      </w:pPr>
      <w:r>
        <w:rPr>
          <w:b w:val="0"/>
          <w:bCs w:val="0"/>
          <w:lang w:val="en-US"/>
        </w:rPr>
        <w:t>The Bank shall use clients' financial instruments exclusively in accordance with their instructions and may not pledge, dispose of, transfer, or otherwise use such instruments for the settlement of its own obligations or the obligations of other clients without the client's prior written authorization.</w:t>
      </w:r>
    </w:p>
    <w:p w14:paraId="07BA1CE2">
      <w:pPr>
        <w:pStyle w:val="3"/>
        <w:jc w:val="both"/>
        <w:rPr>
          <w:b w:val="0"/>
          <w:bCs w:val="0"/>
          <w:lang w:val="en-US"/>
        </w:rPr>
      </w:pPr>
    </w:p>
    <w:p w14:paraId="365AB0D4">
      <w:pPr>
        <w:pStyle w:val="3"/>
        <w:jc w:val="both"/>
        <w:rPr>
          <w:lang w:val="en-US"/>
        </w:rPr>
      </w:pPr>
      <w:r>
        <w:rPr>
          <w:lang w:val="en-US"/>
        </w:rPr>
        <w:t>Custody of Financial Instruments Abroad</w:t>
      </w:r>
    </w:p>
    <w:p w14:paraId="421494C8">
      <w:pPr>
        <w:pStyle w:val="3"/>
        <w:jc w:val="both"/>
        <w:rPr>
          <w:lang w:val="en-US"/>
        </w:rPr>
      </w:pPr>
    </w:p>
    <w:p w14:paraId="32B41E13">
      <w:pPr>
        <w:pStyle w:val="3"/>
        <w:jc w:val="both"/>
        <w:rPr>
          <w:b w:val="0"/>
          <w:bCs w:val="0"/>
          <w:lang w:val="en-US"/>
        </w:rPr>
      </w:pPr>
      <w:r>
        <w:rPr>
          <w:b w:val="0"/>
          <w:bCs w:val="0"/>
          <w:lang w:val="en-US"/>
        </w:rPr>
        <w:t xml:space="preserve">The Bank may deposit clients' financial instruments with third parties, provided that it exercises due professional care in the selection, appointment, and periodic review of such third parties. In particular, the Bank shall take into account the </w:t>
      </w:r>
    </w:p>
    <w:p w14:paraId="70BAB89B">
      <w:pPr>
        <w:pStyle w:val="3"/>
        <w:jc w:val="both"/>
        <w:rPr>
          <w:b w:val="0"/>
          <w:bCs w:val="0"/>
          <w:lang w:val="en-US"/>
        </w:rPr>
      </w:pPr>
    </w:p>
    <w:p w14:paraId="0B73F3CD">
      <w:pPr>
        <w:pStyle w:val="3"/>
        <w:jc w:val="both"/>
        <w:rPr>
          <w:b w:val="0"/>
          <w:bCs w:val="0"/>
          <w:lang w:val="en-US"/>
        </w:rPr>
      </w:pPr>
      <w:r>
        <w:rPr>
          <w:b w:val="0"/>
          <w:bCs w:val="0"/>
          <w:lang w:val="en-US"/>
        </w:rPr>
        <w:t>expertise, reputation, and reliability of the third party, as well as the legal and regulatory requirements governing the holding of financial instruments in the relevant jurisdiction, insofar as such requirements may affect the rights of clients.</w:t>
      </w:r>
    </w:p>
    <w:p w14:paraId="7271880C">
      <w:pPr>
        <w:pStyle w:val="3"/>
        <w:jc w:val="both"/>
        <w:rPr>
          <w:b w:val="0"/>
          <w:bCs w:val="0"/>
          <w:lang w:val="en-US"/>
        </w:rPr>
      </w:pPr>
    </w:p>
    <w:p w14:paraId="54074665">
      <w:pPr>
        <w:pStyle w:val="3"/>
        <w:jc w:val="both"/>
        <w:rPr>
          <w:b w:val="0"/>
          <w:bCs w:val="0"/>
          <w:lang w:val="en-US"/>
        </w:rPr>
      </w:pPr>
      <w:r>
        <w:rPr>
          <w:b w:val="0"/>
          <w:bCs w:val="0"/>
          <w:lang w:val="en-US"/>
        </w:rPr>
        <w:t>Financial instruments shall be deposited only with third parties that are subject to regulatory supervision in the country where custody services are provided, unless the nature of the financial instruments or the related services requires that they be deposited with a third party located in a foreign jurisdiction. A client may request that financial instruments be deposited with a third party in a foreign country.</w:t>
      </w:r>
    </w:p>
    <w:p w14:paraId="3E3D2D17">
      <w:pPr>
        <w:pStyle w:val="3"/>
        <w:rPr>
          <w:b w:val="0"/>
          <w:bCs w:val="0"/>
        </w:rPr>
      </w:pPr>
    </w:p>
    <w:p w14:paraId="2DB75B8C">
      <w:pPr>
        <w:pStyle w:val="6"/>
        <w:spacing w:before="95"/>
        <w:rPr>
          <w:b/>
          <w:bCs/>
          <w:lang w:val="en-US"/>
        </w:rPr>
      </w:pPr>
      <w:r>
        <w:rPr>
          <w:b/>
          <w:bCs/>
          <w:lang w:val="en-US"/>
        </w:rPr>
        <w:t>Use of Clients' Financial Instruments</w:t>
      </w:r>
    </w:p>
    <w:p w14:paraId="22928186">
      <w:pPr>
        <w:pStyle w:val="6"/>
        <w:spacing w:before="95"/>
        <w:rPr>
          <w:b/>
          <w:bCs/>
          <w:lang w:val="en-US"/>
        </w:rPr>
      </w:pPr>
    </w:p>
    <w:p w14:paraId="2151BB42">
      <w:pPr>
        <w:pStyle w:val="6"/>
        <w:spacing w:before="95"/>
        <w:jc w:val="both"/>
        <w:rPr>
          <w:lang w:val="en-US"/>
        </w:rPr>
      </w:pPr>
      <w:r>
        <w:rPr>
          <w:lang w:val="en-US"/>
        </w:rPr>
        <w:t>The Bank may not use clients' financial instruments for its own account or for the account of other persons unless the client has given prior express consent. The Bank's records shall clearly indicate which clients have granted such consent and the conditions under which their financial instruments may be used.</w:t>
      </w:r>
    </w:p>
    <w:p w14:paraId="57898E3E">
      <w:pPr>
        <w:pStyle w:val="6"/>
        <w:spacing w:before="95"/>
        <w:jc w:val="both"/>
        <w:rPr>
          <w:lang w:val="en-US"/>
        </w:rPr>
      </w:pPr>
      <w:r>
        <w:rPr>
          <w:lang w:val="en-US"/>
        </w:rPr>
        <w:t>The Bank shall take appropriate measures to prevent the unauthorized use of clients' financial instruments, including borrowing the necessary securities on behalf of the client or closing out a position, where appropriate.</w:t>
      </w:r>
    </w:p>
    <w:p w14:paraId="20FDAFC9">
      <w:pPr>
        <w:pStyle w:val="6"/>
        <w:spacing w:before="95"/>
        <w:rPr>
          <w:lang w:val="en-US"/>
        </w:rPr>
      </w:pPr>
    </w:p>
    <w:p w14:paraId="0ED2B3C9">
      <w:pPr>
        <w:pStyle w:val="8"/>
        <w:rPr>
          <w:rFonts w:ascii="Arial Narrow" w:hAnsi="Arial Narrow"/>
          <w:b/>
          <w:bCs/>
          <w:sz w:val="22"/>
          <w:szCs w:val="22"/>
        </w:rPr>
      </w:pPr>
      <w:r>
        <w:rPr>
          <w:rFonts w:ascii="Arial Narrow" w:hAnsi="Arial Narrow"/>
          <w:b/>
          <w:bCs/>
          <w:sz w:val="22"/>
          <w:szCs w:val="22"/>
        </w:rPr>
        <w:t>INVESTOR PROTECTION</w:t>
      </w:r>
      <w:r>
        <w:rPr>
          <w:rFonts w:ascii="Arial Narrow" w:hAnsi="Arial Narrow"/>
          <w:sz w:val="22"/>
          <w:szCs w:val="22"/>
        </w:rPr>
        <w:t xml:space="preserve"> </w:t>
      </w:r>
      <w:r>
        <w:rPr>
          <w:rFonts w:ascii="Arial Narrow" w:hAnsi="Arial Narrow"/>
          <w:b/>
          <w:bCs/>
          <w:sz w:val="22"/>
          <w:szCs w:val="22"/>
        </w:rPr>
        <w:t>FUND</w:t>
      </w:r>
    </w:p>
    <w:p w14:paraId="4447E0EA">
      <w:pPr>
        <w:pStyle w:val="8"/>
        <w:jc w:val="both"/>
        <w:rPr>
          <w:rFonts w:ascii="Arial Narrow" w:hAnsi="Arial Narrow"/>
          <w:sz w:val="22"/>
          <w:szCs w:val="22"/>
        </w:rPr>
      </w:pPr>
      <w:r>
        <w:rPr>
          <w:rFonts w:ascii="Arial Narrow" w:hAnsi="Arial Narrow"/>
          <w:sz w:val="22"/>
          <w:szCs w:val="22"/>
        </w:rPr>
        <w:t>The Investor Protection Fund, managed by the Deposit Insurance Agency and of which the Bank is a member, provides protection to retail investors whose funds or financial instruments are exposed to risk in the event of the Bank’s bankruptcy or inability to meet its obligations toward investors.</w:t>
      </w:r>
    </w:p>
    <w:p w14:paraId="148C4202">
      <w:pPr>
        <w:pStyle w:val="8"/>
        <w:jc w:val="both"/>
        <w:rPr>
          <w:rFonts w:ascii="Arial Narrow" w:hAnsi="Arial Narrow"/>
          <w:sz w:val="22"/>
          <w:szCs w:val="22"/>
        </w:rPr>
      </w:pPr>
      <w:r>
        <w:rPr>
          <w:rFonts w:ascii="Arial Narrow" w:hAnsi="Arial Narrow"/>
          <w:sz w:val="22"/>
          <w:szCs w:val="22"/>
        </w:rPr>
        <w:t>Upon establishing a business relationship with the Bank, clients sign the Basic Information on the Retail Investor Protection Scheme form.</w:t>
      </w:r>
    </w:p>
    <w:p w14:paraId="63CD07C3">
      <w:pPr>
        <w:pStyle w:val="8"/>
        <w:jc w:val="both"/>
        <w:rPr>
          <w:rFonts w:ascii="Arial Narrow" w:hAnsi="Arial Narrow"/>
          <w:sz w:val="22"/>
          <w:szCs w:val="22"/>
        </w:rPr>
      </w:pPr>
      <w:r>
        <w:rPr>
          <w:rFonts w:ascii="Arial Narrow" w:hAnsi="Arial Narrow"/>
          <w:sz w:val="22"/>
          <w:szCs w:val="22"/>
        </w:rPr>
        <w:t>Protected claims include cash funds and financial instruments up to the amount of EUR 20,000 in dinar equivalent at the official exchange rate. In the event of an insured occurrence, the Bank provides the Agency with the necessary client records and other required information. The protection does not apply to funds insured under other legal regulations or to claims arising from unlawful activities. The above coverage applies to the total claims of a retail investor against the Bank, regardless of the number of accounts, the place where the accounts are maintained, or the currency involved.</w:t>
      </w:r>
    </w:p>
    <w:p w14:paraId="1EA38611">
      <w:pPr>
        <w:pStyle w:val="8"/>
        <w:jc w:val="both"/>
        <w:rPr>
          <w:rFonts w:ascii="Arial Narrow" w:hAnsi="Arial Narrow"/>
          <w:sz w:val="22"/>
          <w:szCs w:val="22"/>
        </w:rPr>
      </w:pPr>
      <w:r>
        <w:rPr>
          <w:rFonts w:ascii="Arial Narrow" w:hAnsi="Arial Narrow"/>
          <w:sz w:val="22"/>
          <w:szCs w:val="22"/>
        </w:rPr>
        <w:t>Upon the occurrence of an insured event, protection is provided for compensation claims arising from the Bank’s inability to:</w:t>
      </w:r>
    </w:p>
    <w:p w14:paraId="121FB4FE">
      <w:pPr>
        <w:pStyle w:val="6"/>
        <w:numPr>
          <w:ilvl w:val="0"/>
          <w:numId w:val="1"/>
        </w:numPr>
        <w:jc w:val="both"/>
        <w:rPr>
          <w:rFonts w:eastAsia="Times New Roman" w:cs="Times New Roman"/>
          <w:lang w:val="en-US"/>
        </w:rPr>
      </w:pPr>
      <w:r>
        <w:rPr>
          <w:rFonts w:eastAsia="Times New Roman" w:cs="Times New Roman"/>
          <w:lang w:val="en-US"/>
        </w:rPr>
        <w:t>pay cash funds owed to and/or belonging to a retail investor, which it holds and administers on the investor’s behalf, arising from the provision of investment services and activities:</w:t>
      </w:r>
    </w:p>
    <w:p w14:paraId="656F420C">
      <w:pPr>
        <w:pStyle w:val="6"/>
        <w:numPr>
          <w:ilvl w:val="0"/>
          <w:numId w:val="1"/>
        </w:numPr>
        <w:jc w:val="both"/>
        <w:rPr>
          <w:rFonts w:eastAsia="Times New Roman" w:cs="Times New Roman"/>
          <w:lang w:val="en-US"/>
        </w:rPr>
      </w:pPr>
      <w:r>
        <w:rPr>
          <w:rFonts w:eastAsia="Times New Roman" w:cs="Times New Roman"/>
          <w:lang w:val="en-US"/>
        </w:rPr>
        <w:t>return to a retail investor the financial instruments belonging to such investor and recorded in a securities account maintained with the Central Securities Depository and Clearing House (CSDCH), which are listed on a regulated market and which the Fund member holds and administers on the investor’s behalf, arising from the provision of investment services and activities.</w:t>
      </w:r>
    </w:p>
    <w:p w14:paraId="2E372FC2">
      <w:pPr>
        <w:pStyle w:val="6"/>
        <w:ind w:left="720"/>
        <w:jc w:val="both"/>
        <w:rPr>
          <w:rFonts w:eastAsia="Times New Roman" w:cs="Times New Roman"/>
          <w:lang w:val="en-US"/>
        </w:rPr>
      </w:pPr>
    </w:p>
    <w:p w14:paraId="410F2BE4">
      <w:pPr>
        <w:pStyle w:val="6"/>
        <w:jc w:val="both"/>
        <w:rPr>
          <w:lang w:val="en-US"/>
        </w:rPr>
      </w:pPr>
    </w:p>
    <w:p w14:paraId="488428A8">
      <w:pPr>
        <w:pStyle w:val="6"/>
        <w:spacing w:line="254" w:lineRule="auto"/>
        <w:jc w:val="both"/>
        <w:rPr>
          <w:b/>
          <w:bCs/>
          <w:lang w:val="en-US"/>
        </w:rPr>
      </w:pPr>
      <w:r>
        <w:rPr>
          <w:b/>
          <w:bCs/>
          <w:lang w:val="en-US"/>
        </w:rPr>
        <w:t>BRIEF DESCRIPTION OF CONFLICTS OF INTEREST MANAGEMENT MEASURES</w:t>
      </w:r>
    </w:p>
    <w:p w14:paraId="0C2FBEBA">
      <w:pPr>
        <w:pStyle w:val="6"/>
        <w:spacing w:line="254" w:lineRule="auto"/>
        <w:jc w:val="both"/>
        <w:rPr>
          <w:lang w:val="en-US"/>
        </w:rPr>
      </w:pPr>
    </w:p>
    <w:p w14:paraId="2930D1AC">
      <w:pPr>
        <w:pStyle w:val="6"/>
        <w:spacing w:line="254" w:lineRule="auto"/>
        <w:jc w:val="both"/>
        <w:rPr>
          <w:lang w:val="en-US"/>
        </w:rPr>
      </w:pPr>
      <w:r>
        <w:rPr>
          <w:lang w:val="en-US"/>
        </w:rPr>
        <w:t xml:space="preserve">The Bank’s Conflicts-of-Interest Management Policy defines the various forms of conflicts of interest and sets out measures for their prevention. </w:t>
      </w:r>
    </w:p>
    <w:p w14:paraId="01971C74">
      <w:pPr>
        <w:pStyle w:val="6"/>
        <w:spacing w:line="254" w:lineRule="auto"/>
        <w:jc w:val="both"/>
        <w:rPr>
          <w:lang w:val="en-US"/>
        </w:rPr>
      </w:pPr>
    </w:p>
    <w:p w14:paraId="1118983D">
      <w:pPr>
        <w:pStyle w:val="6"/>
        <w:spacing w:line="254" w:lineRule="auto"/>
        <w:jc w:val="both"/>
        <w:rPr>
          <w:lang w:val="en-US"/>
        </w:rPr>
      </w:pPr>
      <w:r>
        <w:rPr>
          <w:lang w:val="en-US"/>
        </w:rPr>
        <w:t>Conflicts of interest may arise between:</w:t>
      </w:r>
    </w:p>
    <w:p w14:paraId="1F086181">
      <w:pPr>
        <w:pStyle w:val="6"/>
        <w:spacing w:line="254" w:lineRule="auto"/>
        <w:jc w:val="both"/>
        <w:rPr>
          <w:lang w:val="en-US"/>
        </w:rPr>
      </w:pPr>
    </w:p>
    <w:p w14:paraId="77952284">
      <w:pPr>
        <w:pStyle w:val="6"/>
        <w:numPr>
          <w:ilvl w:val="0"/>
          <w:numId w:val="2"/>
        </w:numPr>
        <w:spacing w:line="254" w:lineRule="auto"/>
        <w:jc w:val="both"/>
        <w:rPr>
          <w:lang w:val="en-US"/>
        </w:rPr>
      </w:pPr>
      <w:r>
        <w:rPr>
          <w:lang w:val="en-US"/>
        </w:rPr>
        <w:t xml:space="preserve">the interests of the Bank and/or relevant persons, including persons directly or indirectly connected with them, on the one hand, and the interests of clients, on the other hand; </w:t>
      </w:r>
    </w:p>
    <w:p w14:paraId="2F5A114C">
      <w:pPr>
        <w:pStyle w:val="6"/>
        <w:numPr>
          <w:ilvl w:val="0"/>
          <w:numId w:val="2"/>
        </w:numPr>
        <w:spacing w:line="254" w:lineRule="auto"/>
        <w:jc w:val="both"/>
        <w:rPr>
          <w:lang w:val="en-US"/>
        </w:rPr>
      </w:pPr>
      <w:r>
        <w:rPr>
          <w:lang w:val="en-US"/>
        </w:rPr>
        <w:t xml:space="preserve">the differing interests of clients. </w:t>
      </w:r>
    </w:p>
    <w:p w14:paraId="27B70752">
      <w:pPr>
        <w:pStyle w:val="6"/>
        <w:spacing w:line="254" w:lineRule="auto"/>
        <w:jc w:val="both"/>
        <w:rPr>
          <w:lang w:val="en-US"/>
        </w:rPr>
      </w:pPr>
    </w:p>
    <w:p w14:paraId="462B90DF">
      <w:pPr>
        <w:pStyle w:val="6"/>
        <w:spacing w:line="254" w:lineRule="auto"/>
        <w:jc w:val="both"/>
        <w:rPr>
          <w:lang w:val="en-US"/>
        </w:rPr>
      </w:pPr>
      <w:r>
        <w:rPr>
          <w:lang w:val="en-US"/>
        </w:rPr>
        <w:t xml:space="preserve">The Bank takes measures to ensure that relevant persons do not use inside information to the detriment of clients, do not </w:t>
      </w:r>
    </w:p>
    <w:p w14:paraId="0C448D9A">
      <w:pPr>
        <w:pStyle w:val="6"/>
        <w:spacing w:line="254" w:lineRule="auto"/>
        <w:jc w:val="both"/>
        <w:rPr>
          <w:lang w:val="en-US"/>
        </w:rPr>
      </w:pPr>
    </w:p>
    <w:p w14:paraId="2D566774">
      <w:pPr>
        <w:pStyle w:val="6"/>
        <w:spacing w:line="254" w:lineRule="auto"/>
        <w:jc w:val="both"/>
        <w:rPr>
          <w:lang w:val="en-US"/>
        </w:rPr>
      </w:pPr>
      <w:r>
        <w:rPr>
          <w:lang w:val="en-US"/>
        </w:rPr>
        <w:t>trade on their own account using such information, and do not hold financial interests that conflict with the interests of clients.</w:t>
      </w:r>
    </w:p>
    <w:p w14:paraId="3376D955">
      <w:pPr>
        <w:pStyle w:val="6"/>
        <w:spacing w:line="254" w:lineRule="auto"/>
        <w:jc w:val="both"/>
        <w:rPr>
          <w:lang w:val="en-US"/>
        </w:rPr>
      </w:pPr>
    </w:p>
    <w:p w14:paraId="66CB949F">
      <w:pPr>
        <w:pStyle w:val="6"/>
        <w:spacing w:line="254" w:lineRule="auto"/>
        <w:jc w:val="both"/>
        <w:rPr>
          <w:lang w:val="en-US"/>
        </w:rPr>
      </w:pPr>
      <w:r>
        <w:rPr>
          <w:lang w:val="en-US"/>
        </w:rPr>
        <w:t>Where a conflict of interest cannot be avoided, the Bank informs the client before executing the transaction so that the client can make an informed decision. In the event of a conflict of interest that may be detrimental to the client, the client has the right to withdraw from the business relationship.</w:t>
      </w:r>
    </w:p>
    <w:p w14:paraId="25D7E80A">
      <w:pPr>
        <w:pStyle w:val="6"/>
        <w:spacing w:line="254" w:lineRule="auto"/>
        <w:jc w:val="both"/>
        <w:rPr>
          <w:lang w:val="en-US"/>
        </w:rPr>
      </w:pPr>
    </w:p>
    <w:p w14:paraId="0F2441DB">
      <w:pPr>
        <w:pStyle w:val="6"/>
        <w:ind w:right="365"/>
        <w:jc w:val="both"/>
        <w:rPr>
          <w:b/>
          <w:bCs/>
          <w:lang w:val="en-US"/>
        </w:rPr>
      </w:pPr>
      <w:r>
        <w:rPr>
          <w:b/>
          <w:bCs/>
          <w:lang w:val="en-US"/>
        </w:rPr>
        <w:t>FINANCIAL INSTRUMENTS</w:t>
      </w:r>
    </w:p>
    <w:p w14:paraId="1714D86C">
      <w:pPr>
        <w:pStyle w:val="6"/>
        <w:ind w:right="365"/>
        <w:jc w:val="both"/>
        <w:rPr>
          <w:b/>
          <w:bCs/>
          <w:lang w:val="en-US"/>
        </w:rPr>
      </w:pPr>
    </w:p>
    <w:p w14:paraId="7CFF22DB">
      <w:pPr>
        <w:pStyle w:val="6"/>
        <w:ind w:right="365"/>
        <w:jc w:val="both"/>
        <w:rPr>
          <w:lang w:val="en-US"/>
        </w:rPr>
      </w:pPr>
      <w:r>
        <w:rPr>
          <w:lang w:val="en-US"/>
        </w:rPr>
        <w:t>Financial instruments include:</w:t>
      </w:r>
    </w:p>
    <w:p w14:paraId="7E43F2BE">
      <w:pPr>
        <w:pStyle w:val="6"/>
        <w:ind w:right="365"/>
        <w:jc w:val="both"/>
        <w:rPr>
          <w:lang w:val="en-US"/>
        </w:rPr>
      </w:pPr>
    </w:p>
    <w:p w14:paraId="62E92384">
      <w:pPr>
        <w:pStyle w:val="6"/>
        <w:numPr>
          <w:ilvl w:val="0"/>
          <w:numId w:val="3"/>
        </w:numPr>
        <w:ind w:right="365"/>
        <w:jc w:val="both"/>
        <w:rPr>
          <w:lang w:val="en-US"/>
        </w:rPr>
      </w:pPr>
      <w:r>
        <w:rPr>
          <w:lang w:val="en-US"/>
        </w:rPr>
        <w:t xml:space="preserve">Transferable securities </w:t>
      </w:r>
    </w:p>
    <w:p w14:paraId="250477D0">
      <w:pPr>
        <w:pStyle w:val="6"/>
        <w:numPr>
          <w:ilvl w:val="0"/>
          <w:numId w:val="3"/>
        </w:numPr>
        <w:ind w:right="365"/>
        <w:jc w:val="both"/>
        <w:rPr>
          <w:lang w:val="en-US"/>
        </w:rPr>
      </w:pPr>
      <w:r>
        <w:rPr>
          <w:lang w:val="en-US"/>
        </w:rPr>
        <w:t xml:space="preserve">Money market instruments </w:t>
      </w:r>
    </w:p>
    <w:p w14:paraId="37753FE1">
      <w:pPr>
        <w:pStyle w:val="6"/>
        <w:numPr>
          <w:ilvl w:val="0"/>
          <w:numId w:val="3"/>
        </w:numPr>
        <w:ind w:right="365"/>
        <w:jc w:val="both"/>
        <w:rPr>
          <w:lang w:val="en-US"/>
        </w:rPr>
      </w:pPr>
      <w:r>
        <w:rPr>
          <w:lang w:val="en-US"/>
        </w:rPr>
        <w:t xml:space="preserve">Units of collective investment undertakings </w:t>
      </w:r>
    </w:p>
    <w:p w14:paraId="282061FF">
      <w:pPr>
        <w:pStyle w:val="6"/>
        <w:numPr>
          <w:ilvl w:val="0"/>
          <w:numId w:val="3"/>
        </w:numPr>
        <w:ind w:right="365"/>
        <w:jc w:val="both"/>
        <w:rPr>
          <w:lang w:val="en-US"/>
        </w:rPr>
      </w:pPr>
      <w:r>
        <w:rPr>
          <w:lang w:val="en-US"/>
        </w:rPr>
        <w:t xml:space="preserve">Derivative financial instruments </w:t>
      </w:r>
    </w:p>
    <w:p w14:paraId="451A046C">
      <w:pPr>
        <w:pStyle w:val="6"/>
        <w:numPr>
          <w:ilvl w:val="0"/>
          <w:numId w:val="3"/>
        </w:numPr>
        <w:ind w:right="365"/>
        <w:jc w:val="both"/>
        <w:rPr>
          <w:lang w:val="en-US"/>
        </w:rPr>
      </w:pPr>
      <w:r>
        <w:rPr>
          <w:lang w:val="en-US"/>
        </w:rPr>
        <w:t xml:space="preserve">Emission units </w:t>
      </w:r>
    </w:p>
    <w:p w14:paraId="4F63655C">
      <w:pPr>
        <w:pStyle w:val="6"/>
        <w:ind w:right="365"/>
        <w:jc w:val="both"/>
        <w:rPr>
          <w:lang w:val="en-US"/>
        </w:rPr>
      </w:pPr>
    </w:p>
    <w:p w14:paraId="5796C431">
      <w:pPr>
        <w:pStyle w:val="6"/>
        <w:ind w:right="365"/>
        <w:jc w:val="both"/>
        <w:rPr>
          <w:lang w:val="en-US"/>
        </w:rPr>
      </w:pPr>
      <w:r>
        <w:rPr>
          <w:b/>
          <w:bCs/>
          <w:lang w:val="en-US"/>
        </w:rPr>
        <w:t>Transferable securities</w:t>
      </w:r>
      <w:r>
        <w:rPr>
          <w:lang w:val="en-US"/>
        </w:rPr>
        <w:t xml:space="preserve"> are financial instruments that are negotiable on the capital market, excluding instruments of payment, and include in particular:</w:t>
      </w:r>
    </w:p>
    <w:p w14:paraId="635D373D">
      <w:pPr>
        <w:pStyle w:val="6"/>
        <w:ind w:right="365"/>
        <w:jc w:val="both"/>
        <w:rPr>
          <w:lang w:val="en-US"/>
        </w:rPr>
      </w:pPr>
    </w:p>
    <w:p w14:paraId="4DF17047">
      <w:pPr>
        <w:pStyle w:val="6"/>
        <w:ind w:right="365"/>
        <w:jc w:val="both"/>
        <w:rPr>
          <w:lang w:val="en-US"/>
        </w:rPr>
      </w:pPr>
      <w:r>
        <w:rPr>
          <w:lang w:val="en-US"/>
        </w:rPr>
        <w:t>• shares in companies or other securities equivalent to shares in companies or other entities, as well as depositary receipts relating to such shares;</w:t>
      </w:r>
    </w:p>
    <w:p w14:paraId="426D43E3">
      <w:pPr>
        <w:pStyle w:val="6"/>
        <w:ind w:right="365"/>
        <w:jc w:val="both"/>
        <w:rPr>
          <w:lang w:val="en-US"/>
        </w:rPr>
      </w:pPr>
      <w:r>
        <w:rPr>
          <w:lang w:val="en-US"/>
        </w:rPr>
        <w:t>• bonds and other forms of securitized debt, including depositary receipts relating to such securities;</w:t>
      </w:r>
    </w:p>
    <w:p w14:paraId="74D22B1C">
      <w:pPr>
        <w:pStyle w:val="6"/>
        <w:ind w:right="365"/>
        <w:jc w:val="both"/>
        <w:rPr>
          <w:lang w:val="en-US"/>
        </w:rPr>
      </w:pPr>
      <w:r>
        <w:rPr>
          <w:lang w:val="en-US"/>
        </w:rPr>
        <w:t>• any other securities giving the right to acquire or sell such transferable securities, or giving rise to a cash settlement determined by reference to transferable securities, currencies, interest rates or yields, commodities, indices, or other measurable values.</w:t>
      </w:r>
    </w:p>
    <w:p w14:paraId="6FC5400A">
      <w:pPr>
        <w:widowControl/>
        <w:autoSpaceDE/>
        <w:autoSpaceDN/>
        <w:spacing w:before="100" w:beforeAutospacing="1" w:after="100" w:afterAutospacing="1"/>
        <w:rPr>
          <w:rFonts w:eastAsia="Times New Roman" w:cs="Times New Roman"/>
          <w:lang w:val="en-US"/>
        </w:rPr>
      </w:pPr>
      <w:r>
        <w:rPr>
          <w:rFonts w:eastAsia="Times New Roman" w:cs="Times New Roman"/>
          <w:lang w:val="en-US"/>
        </w:rPr>
        <w:t>Shares are dematerialized equity securities issued by a joint-stock company. A joint-stock company is a company whose share capital is divided into shares held by one or more shareholders and which have no maturity date.</w:t>
      </w:r>
    </w:p>
    <w:p w14:paraId="7D36A588">
      <w:pPr>
        <w:widowControl/>
        <w:autoSpaceDE/>
        <w:autoSpaceDN/>
        <w:spacing w:before="100" w:beforeAutospacing="1" w:after="100" w:afterAutospacing="1"/>
        <w:rPr>
          <w:rFonts w:eastAsia="Times New Roman" w:cs="Times New Roman"/>
          <w:lang w:val="en-US"/>
        </w:rPr>
      </w:pPr>
      <w:r>
        <w:rPr>
          <w:rFonts w:eastAsia="Times New Roman" w:cs="Times New Roman"/>
          <w:lang w:val="en-US"/>
        </w:rPr>
        <w:t>Shares may be:</w:t>
      </w:r>
    </w:p>
    <w:p w14:paraId="347953CF">
      <w:pPr>
        <w:widowControl/>
        <w:autoSpaceDE/>
        <w:autoSpaceDN/>
        <w:spacing w:before="100" w:beforeAutospacing="1" w:after="100" w:afterAutospacing="1"/>
        <w:rPr>
          <w:rFonts w:eastAsia="Times New Roman" w:cs="Times New Roman"/>
          <w:lang w:val="en-US"/>
        </w:rPr>
      </w:pPr>
      <w:r>
        <w:rPr>
          <w:rFonts w:eastAsia="Times New Roman" w:cs="Times New Roman"/>
          <w:lang w:val="en-US"/>
        </w:rPr>
        <w:t>• Ordinary shares</w:t>
      </w:r>
      <w:r>
        <w:rPr>
          <w:rFonts w:eastAsia="Times New Roman" w:cs="Times New Roman"/>
          <w:lang w:val="en-US"/>
        </w:rPr>
        <w:br w:type="textWrapping"/>
      </w:r>
      <w:r>
        <w:rPr>
          <w:rFonts w:eastAsia="Times New Roman" w:cs="Times New Roman"/>
          <w:lang w:val="en-US"/>
        </w:rPr>
        <w:t>• Preferred shares</w:t>
      </w:r>
    </w:p>
    <w:p w14:paraId="2D90FA5A">
      <w:pPr>
        <w:widowControl/>
        <w:autoSpaceDE/>
        <w:autoSpaceDN/>
        <w:spacing w:before="100" w:beforeAutospacing="1" w:after="100" w:afterAutospacing="1"/>
        <w:jc w:val="both"/>
        <w:rPr>
          <w:rFonts w:eastAsia="Times New Roman" w:cs="Times New Roman"/>
          <w:lang w:val="en-US"/>
        </w:rPr>
      </w:pPr>
      <w:r>
        <w:rPr>
          <w:rFonts w:eastAsia="Times New Roman" w:cs="Times New Roman"/>
          <w:b/>
          <w:bCs/>
          <w:lang w:val="en-US"/>
        </w:rPr>
        <w:t>Bonds</w:t>
      </w:r>
      <w:r>
        <w:rPr>
          <w:rFonts w:eastAsia="Times New Roman" w:cs="Times New Roman"/>
          <w:lang w:val="en-US"/>
        </w:rPr>
        <w:t xml:space="preserve"> are debt, transferable, and dematerialized financial instruments issued by states, local government authorities, banks, and companies. By issuing bonds, the issuer undertakes to pay the bondholder a specified monetary amount (interest and principal) in the manner and under the terms and conditions under which the bond was issued.</w:t>
      </w:r>
    </w:p>
    <w:p w14:paraId="2DE1137B">
      <w:pPr>
        <w:widowControl/>
        <w:autoSpaceDE/>
        <w:autoSpaceDN/>
        <w:rPr>
          <w:rFonts w:eastAsia="Times New Roman" w:cs="Times New Roman"/>
          <w:lang w:val="en-US"/>
        </w:rPr>
      </w:pPr>
      <w:r>
        <w:rPr>
          <w:rFonts w:eastAsia="Times New Roman" w:cs="Times New Roman"/>
          <w:lang w:val="en-US"/>
        </w:rPr>
        <w:t>Bonds may be classified according to various criteria and characteristics, most commonly as follows:</w:t>
      </w:r>
    </w:p>
    <w:p w14:paraId="212CFB70">
      <w:pPr>
        <w:widowControl/>
        <w:autoSpaceDE/>
        <w:autoSpaceDN/>
        <w:rPr>
          <w:rFonts w:eastAsia="Times New Roman" w:cs="Times New Roman"/>
          <w:lang w:val="en-US"/>
        </w:rPr>
      </w:pPr>
    </w:p>
    <w:p w14:paraId="2EB525C9">
      <w:pPr>
        <w:widowControl/>
        <w:numPr>
          <w:ilvl w:val="0"/>
          <w:numId w:val="4"/>
        </w:numPr>
        <w:autoSpaceDE/>
        <w:autoSpaceDN/>
        <w:rPr>
          <w:rFonts w:eastAsia="Times New Roman" w:cs="Times New Roman"/>
          <w:lang w:val="en-US"/>
        </w:rPr>
      </w:pPr>
      <w:r>
        <w:rPr>
          <w:rFonts w:eastAsia="Times New Roman" w:cs="Times New Roman"/>
          <w:lang w:val="en-US"/>
        </w:rPr>
        <w:t xml:space="preserve">According to the issuer: </w:t>
      </w:r>
    </w:p>
    <w:p w14:paraId="76774A29">
      <w:pPr>
        <w:widowControl/>
        <w:autoSpaceDE/>
        <w:autoSpaceDN/>
        <w:rPr>
          <w:rFonts w:eastAsia="Times New Roman" w:cs="Times New Roman"/>
          <w:lang w:val="en-US"/>
        </w:rPr>
      </w:pPr>
      <w:r>
        <w:rPr>
          <w:rFonts w:eastAsia="Times New Roman" w:cs="Times New Roman"/>
          <w:lang w:val="en-US"/>
        </w:rPr>
        <w:t>• Government bonds – issued by a state, ministry of finance, or treasury;</w:t>
      </w:r>
      <w:r>
        <w:rPr>
          <w:rFonts w:eastAsia="Times New Roman" w:cs="Times New Roman"/>
          <w:lang w:val="en-US"/>
        </w:rPr>
        <w:br w:type="textWrapping"/>
      </w:r>
      <w:r>
        <w:rPr>
          <w:rFonts w:eastAsia="Times New Roman" w:cs="Times New Roman"/>
          <w:lang w:val="en-US"/>
        </w:rPr>
        <w:t>• Municipal bonds – issued by a local self-government unit;</w:t>
      </w:r>
      <w:r>
        <w:rPr>
          <w:rFonts w:eastAsia="Times New Roman" w:cs="Times New Roman"/>
          <w:lang w:val="en-US"/>
        </w:rPr>
        <w:br w:type="textWrapping"/>
      </w:r>
      <w:r>
        <w:rPr>
          <w:rFonts w:eastAsia="Times New Roman" w:cs="Times New Roman"/>
          <w:lang w:val="en-US"/>
        </w:rPr>
        <w:t>• Corporate bonds – issued by a company;</w:t>
      </w:r>
    </w:p>
    <w:p w14:paraId="60016BB1">
      <w:pPr>
        <w:widowControl/>
        <w:autoSpaceDE/>
        <w:autoSpaceDN/>
        <w:rPr>
          <w:rFonts w:eastAsia="Times New Roman" w:cs="Times New Roman"/>
          <w:lang w:val="en-US"/>
        </w:rPr>
      </w:pPr>
    </w:p>
    <w:p w14:paraId="120F3E85">
      <w:pPr>
        <w:pStyle w:val="6"/>
        <w:numPr>
          <w:ilvl w:val="0"/>
          <w:numId w:val="5"/>
        </w:numPr>
        <w:spacing w:line="252" w:lineRule="exact"/>
        <w:jc w:val="both"/>
        <w:rPr>
          <w:rFonts w:eastAsia="Times New Roman" w:cs="Times New Roman"/>
          <w:lang w:val="en-US"/>
        </w:rPr>
      </w:pPr>
      <w:r>
        <w:rPr>
          <w:rFonts w:eastAsia="Times New Roman" w:cs="Times New Roman"/>
          <w:lang w:val="en-US"/>
        </w:rPr>
        <w:t xml:space="preserve">According to the interest rate: </w:t>
      </w:r>
    </w:p>
    <w:p w14:paraId="20A83374">
      <w:pPr>
        <w:pStyle w:val="6"/>
        <w:spacing w:line="252" w:lineRule="exact"/>
        <w:ind w:left="720"/>
        <w:jc w:val="both"/>
        <w:rPr>
          <w:rFonts w:eastAsia="Times New Roman" w:cs="Times New Roman"/>
          <w:lang w:val="en-US"/>
        </w:rPr>
      </w:pPr>
    </w:p>
    <w:p w14:paraId="222E9742">
      <w:pPr>
        <w:pStyle w:val="6"/>
        <w:spacing w:line="252" w:lineRule="exact"/>
        <w:jc w:val="both"/>
        <w:rPr>
          <w:rFonts w:eastAsia="Times New Roman" w:cs="Times New Roman"/>
          <w:lang w:val="en-US"/>
        </w:rPr>
      </w:pPr>
      <w:r>
        <w:rPr>
          <w:rFonts w:eastAsia="Times New Roman" w:cs="Times New Roman"/>
          <w:lang w:val="en-US"/>
        </w:rPr>
        <w:t>• Zero-coupon bonds (bonds without interest/coupon payments);</w:t>
      </w:r>
    </w:p>
    <w:p w14:paraId="701A2BC7">
      <w:pPr>
        <w:pStyle w:val="6"/>
        <w:spacing w:line="252" w:lineRule="exact"/>
        <w:jc w:val="both"/>
        <w:rPr>
          <w:rFonts w:eastAsia="Times New Roman" w:cs="Times New Roman"/>
          <w:lang w:val="en-US"/>
        </w:rPr>
      </w:pPr>
      <w:r>
        <w:rPr>
          <w:rFonts w:eastAsia="Times New Roman" w:cs="Times New Roman"/>
          <w:i/>
          <w:iCs/>
          <w:lang w:val="en-US"/>
        </w:rPr>
        <w:t xml:space="preserve">• </w:t>
      </w:r>
      <w:r>
        <w:rPr>
          <w:rFonts w:eastAsia="Times New Roman" w:cs="Times New Roman"/>
          <w:lang w:val="en-US"/>
        </w:rPr>
        <w:t>Fixed-rate bonds (bonds with a fixed interest rate/coupon);</w:t>
      </w:r>
    </w:p>
    <w:p w14:paraId="6DDE37D3">
      <w:pPr>
        <w:pStyle w:val="6"/>
        <w:spacing w:line="252" w:lineRule="exact"/>
        <w:jc w:val="both"/>
        <w:rPr>
          <w:rFonts w:eastAsia="Times New Roman" w:cs="Times New Roman"/>
          <w:lang w:val="en-US"/>
        </w:rPr>
      </w:pPr>
      <w:r>
        <w:rPr>
          <w:rFonts w:eastAsia="Times New Roman" w:cs="Times New Roman"/>
          <w:i/>
          <w:iCs/>
          <w:lang w:val="en-US"/>
        </w:rPr>
        <w:t xml:space="preserve">• </w:t>
      </w:r>
      <w:r>
        <w:rPr>
          <w:rFonts w:eastAsia="Times New Roman" w:cs="Times New Roman"/>
          <w:lang w:val="en-US"/>
        </w:rPr>
        <w:t>Floating-rate bonds (bonds with a variable interest rate/coupon);</w:t>
      </w:r>
    </w:p>
    <w:p w14:paraId="6BEAC4C8">
      <w:pPr>
        <w:pStyle w:val="6"/>
        <w:spacing w:line="252" w:lineRule="exact"/>
        <w:jc w:val="both"/>
        <w:rPr>
          <w:rFonts w:eastAsia="Times New Roman" w:cs="Times New Roman"/>
          <w:i/>
          <w:iCs/>
          <w:lang w:val="en-US"/>
        </w:rPr>
      </w:pPr>
    </w:p>
    <w:p w14:paraId="01108CBF">
      <w:pPr>
        <w:pStyle w:val="6"/>
        <w:numPr>
          <w:ilvl w:val="0"/>
          <w:numId w:val="6"/>
        </w:numPr>
        <w:spacing w:line="252" w:lineRule="exact"/>
        <w:jc w:val="both"/>
        <w:rPr>
          <w:rFonts w:eastAsia="Times New Roman" w:cs="Times New Roman"/>
          <w:i/>
          <w:iCs/>
          <w:lang w:val="en-US"/>
        </w:rPr>
      </w:pPr>
      <w:r>
        <w:rPr>
          <w:rFonts w:eastAsia="Times New Roman" w:cs="Times New Roman"/>
          <w:lang w:val="en-US"/>
        </w:rPr>
        <w:t>According to the principal repayment structure</w:t>
      </w:r>
      <w:r>
        <w:rPr>
          <w:rFonts w:eastAsia="Times New Roman" w:cs="Times New Roman"/>
          <w:i/>
          <w:iCs/>
          <w:lang w:val="en-US"/>
        </w:rPr>
        <w:t xml:space="preserve">: </w:t>
      </w:r>
    </w:p>
    <w:p w14:paraId="43D38BB5">
      <w:pPr>
        <w:pStyle w:val="6"/>
        <w:spacing w:line="252" w:lineRule="exact"/>
        <w:ind w:left="720"/>
        <w:jc w:val="both"/>
        <w:rPr>
          <w:rFonts w:eastAsia="Times New Roman" w:cs="Times New Roman"/>
          <w:i/>
          <w:iCs/>
          <w:lang w:val="en-US"/>
        </w:rPr>
      </w:pPr>
    </w:p>
    <w:p w14:paraId="2BCE39C9">
      <w:pPr>
        <w:pStyle w:val="6"/>
        <w:spacing w:line="252" w:lineRule="exact"/>
        <w:jc w:val="both"/>
        <w:rPr>
          <w:rFonts w:eastAsia="Times New Roman" w:cs="Times New Roman"/>
          <w:lang w:val="en-US"/>
        </w:rPr>
      </w:pPr>
      <w:r>
        <w:rPr>
          <w:rFonts w:eastAsia="Times New Roman" w:cs="Times New Roman"/>
          <w:i/>
          <w:iCs/>
          <w:lang w:val="en-US"/>
        </w:rPr>
        <w:t xml:space="preserve">• </w:t>
      </w:r>
      <w:r>
        <w:rPr>
          <w:rFonts w:eastAsia="Times New Roman" w:cs="Times New Roman"/>
          <w:lang w:val="en-US"/>
        </w:rPr>
        <w:t>Bullet bonds – the issuer repays the principal in a single payment at maturity;</w:t>
      </w:r>
    </w:p>
    <w:p w14:paraId="72F42EDC">
      <w:pPr>
        <w:pStyle w:val="6"/>
        <w:spacing w:line="252" w:lineRule="exact"/>
        <w:jc w:val="both"/>
        <w:rPr>
          <w:rFonts w:eastAsia="Times New Roman" w:cs="Times New Roman"/>
          <w:lang w:val="en-US"/>
        </w:rPr>
      </w:pPr>
      <w:r>
        <w:rPr>
          <w:rFonts w:eastAsia="Times New Roman" w:cs="Times New Roman"/>
          <w:i/>
          <w:iCs/>
          <w:lang w:val="en-US"/>
        </w:rPr>
        <w:t xml:space="preserve">• </w:t>
      </w:r>
      <w:r>
        <w:rPr>
          <w:rFonts w:eastAsia="Times New Roman" w:cs="Times New Roman"/>
          <w:lang w:val="en-US"/>
        </w:rPr>
        <w:t>Amortizing bonds – the principal is repaid in installments over the life of the bond.</w:t>
      </w:r>
    </w:p>
    <w:p w14:paraId="3469F6E3">
      <w:pPr>
        <w:pStyle w:val="6"/>
        <w:spacing w:line="252" w:lineRule="exact"/>
        <w:jc w:val="both"/>
        <w:rPr>
          <w:rFonts w:eastAsia="Times New Roman" w:cs="Times New Roman"/>
          <w:lang w:val="en-US"/>
        </w:rPr>
      </w:pPr>
    </w:p>
    <w:p w14:paraId="1CB6A5F6">
      <w:pPr>
        <w:pStyle w:val="6"/>
        <w:spacing w:line="252" w:lineRule="exact"/>
        <w:rPr>
          <w:rFonts w:eastAsia="Times New Roman" w:cs="Times New Roman"/>
          <w:lang w:val="en-US"/>
        </w:rPr>
      </w:pPr>
      <w:r>
        <w:rPr>
          <w:rFonts w:eastAsia="Times New Roman" w:cs="Times New Roman"/>
          <w:lang w:val="en-US"/>
        </w:rPr>
        <w:t>Bonds may be issued in different currencies (in accordance with applicable regulations), may have different maturities, and may be either unsecured or secured (e.g., by a guarantee or surety).</w:t>
      </w:r>
    </w:p>
    <w:p w14:paraId="7E6DE96C">
      <w:pPr>
        <w:pStyle w:val="6"/>
        <w:spacing w:line="252" w:lineRule="exact"/>
        <w:rPr>
          <w:lang w:val="en-US"/>
        </w:rPr>
      </w:pPr>
    </w:p>
    <w:p w14:paraId="02019921">
      <w:pPr>
        <w:pStyle w:val="6"/>
        <w:spacing w:before="1"/>
        <w:ind w:right="359"/>
        <w:jc w:val="both"/>
        <w:rPr>
          <w:bCs/>
          <w:lang w:val="en-US"/>
        </w:rPr>
      </w:pPr>
      <w:r>
        <w:rPr>
          <w:b/>
          <w:lang w:val="en-US"/>
        </w:rPr>
        <w:t xml:space="preserve">Money market instruments </w:t>
      </w:r>
      <w:r>
        <w:rPr>
          <w:bCs/>
          <w:lang w:val="en-US"/>
        </w:rPr>
        <w:t>are financial instruments (short-term debt instruments) that are normally traded on the money market, such as treasury bills, certificates of deposit, commercial paper, and bank bills, excluding instruments of payment.</w:t>
      </w:r>
    </w:p>
    <w:p w14:paraId="18F86B31">
      <w:pPr>
        <w:pStyle w:val="6"/>
        <w:spacing w:before="1"/>
        <w:ind w:right="359"/>
        <w:rPr>
          <w:bCs/>
          <w:lang w:val="en-US"/>
        </w:rPr>
      </w:pPr>
    </w:p>
    <w:p w14:paraId="125C2F87">
      <w:pPr>
        <w:pStyle w:val="6"/>
        <w:spacing w:before="1"/>
        <w:ind w:right="359"/>
        <w:jc w:val="both"/>
        <w:rPr>
          <w:bCs/>
          <w:lang w:val="en-US"/>
        </w:rPr>
      </w:pPr>
      <w:r>
        <w:rPr>
          <w:b/>
          <w:lang w:val="en-US"/>
        </w:rPr>
        <w:t xml:space="preserve">Units of collective investment undertakings </w:t>
      </w:r>
      <w:r>
        <w:rPr>
          <w:bCs/>
          <w:lang w:val="en-US"/>
        </w:rPr>
        <w:t>are freely transferable dematerialized financial instruments issued by a collective investment undertaking, on the basis of which unit holders acquire the right to a proportionate accounting share in the total net assets of that collective investment undertaking.</w:t>
      </w:r>
    </w:p>
    <w:p w14:paraId="582BCF53">
      <w:pPr>
        <w:pStyle w:val="6"/>
        <w:spacing w:before="1"/>
        <w:ind w:right="359"/>
        <w:jc w:val="both"/>
      </w:pPr>
    </w:p>
    <w:p w14:paraId="2A841CD1">
      <w:pPr>
        <w:pStyle w:val="3"/>
        <w:spacing w:before="251"/>
        <w:jc w:val="both"/>
        <w:rPr>
          <w:lang w:val="en-US"/>
        </w:rPr>
      </w:pPr>
      <w:r>
        <w:rPr>
          <w:lang w:val="en-US"/>
        </w:rPr>
        <w:t>Derivative financial instruments include:</w:t>
      </w:r>
    </w:p>
    <w:p w14:paraId="29525A2A">
      <w:pPr>
        <w:pStyle w:val="3"/>
        <w:numPr>
          <w:ilvl w:val="0"/>
          <w:numId w:val="7"/>
        </w:numPr>
        <w:spacing w:before="251"/>
        <w:jc w:val="both"/>
        <w:rPr>
          <w:b w:val="0"/>
          <w:bCs w:val="0"/>
          <w:lang w:val="en-US"/>
        </w:rPr>
      </w:pPr>
      <w:r>
        <w:rPr>
          <w:b w:val="0"/>
          <w:bCs w:val="0"/>
          <w:lang w:val="en-US"/>
        </w:rPr>
        <w:t xml:space="preserve">options, futures, swaps, forward rate agreements (non-standardized interest rate forward contracts), and any other derivative contracts relating to securities, currencies, interest rates or yields, emission allowances (units), or other derivative instruments, financial indices, or financial measures that may be settled physically or in cash; </w:t>
      </w:r>
    </w:p>
    <w:p w14:paraId="697018EA">
      <w:pPr>
        <w:pStyle w:val="3"/>
        <w:numPr>
          <w:ilvl w:val="0"/>
          <w:numId w:val="7"/>
        </w:numPr>
        <w:spacing w:before="251"/>
        <w:jc w:val="both"/>
        <w:rPr>
          <w:b w:val="0"/>
          <w:bCs w:val="0"/>
          <w:lang w:val="en-US"/>
        </w:rPr>
      </w:pPr>
      <w:r>
        <w:rPr>
          <w:b w:val="0"/>
          <w:bCs w:val="0"/>
          <w:lang w:val="en-US"/>
        </w:rPr>
        <w:t xml:space="preserve">options, futures, swaps, forwards, and any other derivative contracts relating to commodities that must be settled in cash; or may be settled in cash at the option of one of the contracting parties, other than by reason of default or another event triggering termination of the contract; </w:t>
      </w:r>
    </w:p>
    <w:p w14:paraId="0C78BD86">
      <w:pPr>
        <w:pStyle w:val="3"/>
        <w:numPr>
          <w:ilvl w:val="0"/>
          <w:numId w:val="7"/>
        </w:numPr>
        <w:spacing w:before="251"/>
        <w:jc w:val="both"/>
        <w:rPr>
          <w:b w:val="0"/>
          <w:bCs w:val="0"/>
          <w:lang w:val="en-US"/>
        </w:rPr>
      </w:pPr>
      <w:r>
        <w:rPr>
          <w:b w:val="0"/>
          <w:bCs w:val="0"/>
          <w:lang w:val="en-US"/>
        </w:rPr>
        <w:t xml:space="preserve">options, futures, swaps, and any other derivative contracts relating to commodities that can be physically settled, provided that they are traded on a regulated market, a Multilateral Trading Facility (MTF), or an Organized Trading Facility (OTF), except for wholesale energy products traded on an OTF that must be physically settled; </w:t>
      </w:r>
    </w:p>
    <w:p w14:paraId="0F0B8278">
      <w:pPr>
        <w:pStyle w:val="3"/>
        <w:numPr>
          <w:ilvl w:val="0"/>
          <w:numId w:val="7"/>
        </w:numPr>
        <w:spacing w:before="251"/>
        <w:jc w:val="both"/>
        <w:rPr>
          <w:b w:val="0"/>
          <w:bCs w:val="0"/>
          <w:lang w:val="en-US"/>
        </w:rPr>
      </w:pPr>
      <w:r>
        <w:rPr>
          <w:b w:val="0"/>
          <w:bCs w:val="0"/>
          <w:lang w:val="en-US"/>
        </w:rPr>
        <w:t xml:space="preserve">options, futures, swaps, forwards, and any other derivative contracts relating to commodities that can be physically settled, provided that they are not referred to in item 3 above, are not for commercial purposes, and possess the characteristics of other derivative financial instruments; </w:t>
      </w:r>
    </w:p>
    <w:p w14:paraId="4798DF54">
      <w:pPr>
        <w:pStyle w:val="3"/>
        <w:numPr>
          <w:ilvl w:val="0"/>
          <w:numId w:val="7"/>
        </w:numPr>
        <w:spacing w:before="251"/>
        <w:jc w:val="both"/>
        <w:rPr>
          <w:b w:val="0"/>
          <w:bCs w:val="0"/>
          <w:lang w:val="en-US"/>
        </w:rPr>
      </w:pPr>
      <w:r>
        <w:rPr>
          <w:b w:val="0"/>
          <w:bCs w:val="0"/>
          <w:lang w:val="en-US"/>
        </w:rPr>
        <w:t xml:space="preserve">derivative financial instruments for the transfer of credit risk; </w:t>
      </w:r>
    </w:p>
    <w:p w14:paraId="4EBC7A06">
      <w:pPr>
        <w:pStyle w:val="3"/>
        <w:numPr>
          <w:ilvl w:val="0"/>
          <w:numId w:val="7"/>
        </w:numPr>
        <w:spacing w:before="251"/>
        <w:jc w:val="both"/>
        <w:rPr>
          <w:b w:val="0"/>
          <w:bCs w:val="0"/>
          <w:lang w:val="en-US"/>
        </w:rPr>
      </w:pPr>
      <w:r>
        <w:rPr>
          <w:b w:val="0"/>
          <w:bCs w:val="0"/>
          <w:lang w:val="en-US"/>
        </w:rPr>
        <w:t xml:space="preserve">contracts for differences (CFDs); </w:t>
      </w:r>
    </w:p>
    <w:p w14:paraId="2FA21039">
      <w:pPr>
        <w:pStyle w:val="3"/>
        <w:numPr>
          <w:ilvl w:val="0"/>
          <w:numId w:val="7"/>
        </w:numPr>
        <w:spacing w:before="251"/>
        <w:jc w:val="both"/>
        <w:rPr>
          <w:b w:val="0"/>
          <w:bCs w:val="0"/>
          <w:lang w:val="en-US"/>
        </w:rPr>
      </w:pPr>
      <w:r>
        <w:rPr>
          <w:b w:val="0"/>
          <w:bCs w:val="0"/>
          <w:lang w:val="en-US"/>
        </w:rPr>
        <w:t>options, futures, swaps, forward rate agreements, and any other derivative contracts relating to climatic variables, transportation costs, inflation rates, or other official economic and statistical data that must be settled in cash or may be settled in cash at the option of one of the contracting parties, other than by reason of default or another event triggering termination of the contract, as well as any other derivative contracts relating to assets, rights, obligations, indices, and measures not otherwise referred to in this item, which possess the characteristics of other derivative financial instruments, taking into account, among other things, whether they are traded on a regulated market, an OTF, or  MTF.</w:t>
      </w:r>
    </w:p>
    <w:p w14:paraId="5EDC8145">
      <w:pPr>
        <w:pStyle w:val="3"/>
        <w:spacing w:before="251"/>
        <w:jc w:val="both"/>
        <w:rPr>
          <w:b w:val="0"/>
          <w:bCs w:val="0"/>
          <w:lang w:val="en-US"/>
        </w:rPr>
      </w:pPr>
    </w:p>
    <w:p w14:paraId="6B399682">
      <w:pPr>
        <w:pStyle w:val="8"/>
        <w:jc w:val="both"/>
        <w:rPr>
          <w:rFonts w:ascii="Arial Narrow" w:hAnsi="Arial Narrow"/>
          <w:b/>
          <w:bCs/>
          <w:sz w:val="10"/>
          <w:szCs w:val="10"/>
        </w:rPr>
      </w:pPr>
    </w:p>
    <w:p w14:paraId="6D72AED8">
      <w:pPr>
        <w:pStyle w:val="8"/>
        <w:jc w:val="both"/>
        <w:rPr>
          <w:rFonts w:ascii="Arial Narrow" w:hAnsi="Arial Narrow"/>
          <w:b/>
          <w:bCs/>
          <w:sz w:val="22"/>
          <w:szCs w:val="22"/>
        </w:rPr>
      </w:pPr>
      <w:r>
        <w:rPr>
          <w:rFonts w:ascii="Arial Narrow" w:hAnsi="Arial Narrow"/>
          <w:b/>
          <w:bCs/>
          <w:sz w:val="22"/>
          <w:szCs w:val="22"/>
        </w:rPr>
        <w:t>Emission Allowances (Units)</w:t>
      </w:r>
    </w:p>
    <w:p w14:paraId="63AA7C2B">
      <w:pPr>
        <w:pStyle w:val="8"/>
        <w:jc w:val="both"/>
        <w:rPr>
          <w:rFonts w:ascii="Arial Narrow" w:hAnsi="Arial Narrow"/>
          <w:sz w:val="22"/>
          <w:szCs w:val="22"/>
        </w:rPr>
      </w:pPr>
      <w:r>
        <w:rPr>
          <w:rFonts w:ascii="Arial Narrow" w:hAnsi="Arial Narrow"/>
          <w:sz w:val="22"/>
          <w:szCs w:val="22"/>
        </w:rPr>
        <w:t>Emission allowances mean allowances consisting of any units that are recognized as being in accordance with the provisions of the law governing the greenhouse gas emissions trading system.</w:t>
      </w:r>
    </w:p>
    <w:p w14:paraId="1E6A6673">
      <w:pPr>
        <w:pStyle w:val="8"/>
        <w:jc w:val="both"/>
        <w:rPr>
          <w:rFonts w:ascii="Arial Narrow" w:hAnsi="Arial Narrow"/>
          <w:sz w:val="22"/>
          <w:szCs w:val="22"/>
        </w:rPr>
      </w:pPr>
      <w:r>
        <w:rPr>
          <w:rFonts w:ascii="Arial Narrow" w:hAnsi="Arial Narrow"/>
          <w:sz w:val="22"/>
          <w:szCs w:val="22"/>
        </w:rPr>
        <w:t>Details of each of these instruments, including shares, bonds, money market instruments, units of investment funds, and derivative financial instruments, are set out in the relevant laws and regulations.</w:t>
      </w:r>
    </w:p>
    <w:p w14:paraId="72E901AC">
      <w:pPr>
        <w:pStyle w:val="8"/>
        <w:jc w:val="both"/>
        <w:rPr>
          <w:rFonts w:ascii="Arial Narrow" w:hAnsi="Arial Narrow"/>
          <w:b/>
          <w:bCs/>
          <w:sz w:val="22"/>
          <w:szCs w:val="22"/>
        </w:rPr>
      </w:pPr>
      <w:r>
        <w:rPr>
          <w:rFonts w:ascii="Arial Narrow" w:hAnsi="Arial Narrow"/>
          <w:b/>
          <w:bCs/>
          <w:sz w:val="22"/>
          <w:szCs w:val="22"/>
        </w:rPr>
        <w:t>RISKS FOR CLIENTS INVESTING IN FINANCIAL INSTRUMENTS</w:t>
      </w:r>
    </w:p>
    <w:p w14:paraId="6FF210A7">
      <w:pPr>
        <w:pStyle w:val="8"/>
        <w:jc w:val="both"/>
        <w:rPr>
          <w:rFonts w:ascii="Arial Narrow" w:hAnsi="Arial Narrow"/>
          <w:sz w:val="22"/>
          <w:szCs w:val="22"/>
        </w:rPr>
      </w:pPr>
      <w:r>
        <w:rPr>
          <w:rFonts w:ascii="Arial Narrow" w:hAnsi="Arial Narrow"/>
          <w:sz w:val="22"/>
          <w:szCs w:val="22"/>
        </w:rPr>
        <w:t>When making investment decisions, clients must be aware of the risks associated with investing in financial instruments.</w:t>
      </w:r>
    </w:p>
    <w:p w14:paraId="3475C989">
      <w:pPr>
        <w:pStyle w:val="8"/>
        <w:jc w:val="both"/>
        <w:rPr>
          <w:rFonts w:ascii="Arial Narrow" w:hAnsi="Arial Narrow"/>
          <w:sz w:val="22"/>
          <w:szCs w:val="22"/>
        </w:rPr>
      </w:pPr>
      <w:r>
        <w:rPr>
          <w:rFonts w:ascii="Arial Narrow" w:hAnsi="Arial Narrow"/>
          <w:sz w:val="22"/>
          <w:szCs w:val="22"/>
        </w:rPr>
        <w:t>General risks include country risks (sovereign risk, political risk, economic risk, foreign exchange risk, inflation risk, and the risk of changes in laws and regulations), issuer risks (credit risk, industry risk, management risk, operational risk, dividend payment risk, and environmental risk), as well as risks specific to financial instruments (liquidity risk, market risk, currency risk, counterparty risk, and other risks).</w:t>
      </w:r>
    </w:p>
    <w:p w14:paraId="25C151C8">
      <w:pPr>
        <w:pStyle w:val="8"/>
        <w:jc w:val="both"/>
        <w:rPr>
          <w:rFonts w:ascii="Arial Narrow" w:hAnsi="Arial Narrow"/>
          <w:sz w:val="22"/>
          <w:szCs w:val="22"/>
        </w:rPr>
      </w:pPr>
      <w:r>
        <w:rPr>
          <w:rFonts w:ascii="Arial Narrow" w:hAnsi="Arial Narrow"/>
          <w:sz w:val="22"/>
          <w:szCs w:val="22"/>
        </w:rPr>
        <w:t>Diversification is recommended as a means of reducing overall investment risk; however, it does not guarantee complete safety or protection against losses.</w:t>
      </w:r>
    </w:p>
    <w:p w14:paraId="584ACE39">
      <w:pPr>
        <w:tabs>
          <w:tab w:val="left" w:pos="1440"/>
        </w:tabs>
        <w:spacing w:before="180" w:line="237" w:lineRule="auto"/>
        <w:ind w:right="360"/>
        <w:rPr>
          <w:b/>
          <w:bCs/>
          <w:lang w:val="en-US"/>
        </w:rPr>
      </w:pPr>
      <w:r>
        <w:rPr>
          <w:b/>
          <w:bCs/>
          <w:lang w:val="en-US"/>
        </w:rPr>
        <w:t>CATEGORIZATION AND RE-CATEGORIZATION OF CLIENTS</w:t>
      </w:r>
    </w:p>
    <w:p w14:paraId="48D6572B">
      <w:pPr>
        <w:tabs>
          <w:tab w:val="left" w:pos="1440"/>
        </w:tabs>
        <w:spacing w:before="180" w:line="237" w:lineRule="auto"/>
        <w:ind w:right="360"/>
        <w:rPr>
          <w:lang w:val="en-US"/>
        </w:rPr>
      </w:pPr>
      <w:r>
        <w:rPr>
          <w:lang w:val="en-US"/>
        </w:rPr>
        <w:t>Prior to providing investment services, the Bank classifies clients into two categories:</w:t>
      </w:r>
    </w:p>
    <w:p w14:paraId="0FAC92EA">
      <w:pPr>
        <w:pStyle w:val="12"/>
        <w:numPr>
          <w:ilvl w:val="0"/>
          <w:numId w:val="8"/>
        </w:numPr>
        <w:tabs>
          <w:tab w:val="left" w:pos="1440"/>
        </w:tabs>
        <w:ind w:left="1434" w:right="357" w:hanging="357"/>
        <w:rPr>
          <w:lang w:val="en-US"/>
        </w:rPr>
      </w:pPr>
      <w:r>
        <w:rPr>
          <w:lang w:val="en-US"/>
        </w:rPr>
        <w:t>Retail Investors</w:t>
      </w:r>
    </w:p>
    <w:p w14:paraId="26C7E308">
      <w:pPr>
        <w:pStyle w:val="12"/>
        <w:numPr>
          <w:ilvl w:val="0"/>
          <w:numId w:val="8"/>
        </w:numPr>
        <w:tabs>
          <w:tab w:val="left" w:pos="1134"/>
        </w:tabs>
        <w:ind w:left="1434" w:right="357" w:hanging="357"/>
        <w:rPr>
          <w:lang w:val="en-US"/>
        </w:rPr>
      </w:pPr>
      <w:r>
        <w:rPr>
          <w:lang w:val="en-US"/>
        </w:rPr>
        <w:t xml:space="preserve">Professional Investors </w:t>
      </w:r>
    </w:p>
    <w:p w14:paraId="5D5D6DCA">
      <w:pPr>
        <w:tabs>
          <w:tab w:val="left" w:pos="1440"/>
        </w:tabs>
        <w:spacing w:before="180" w:line="237" w:lineRule="auto"/>
        <w:ind w:right="360"/>
        <w:rPr>
          <w:lang w:val="en-US"/>
        </w:rPr>
      </w:pPr>
      <w:r>
        <w:rPr>
          <w:lang w:val="en-US"/>
        </w:rPr>
        <w:t>Retail Investors are afforded the highest level of protection. They are legal entities or natural persons who do not meet the criteria for Professional Investors.</w:t>
      </w:r>
    </w:p>
    <w:p w14:paraId="6449CDF3">
      <w:pPr>
        <w:tabs>
          <w:tab w:val="left" w:pos="1440"/>
        </w:tabs>
        <w:spacing w:before="180" w:line="237" w:lineRule="auto"/>
        <w:ind w:right="360"/>
        <w:rPr>
          <w:lang w:val="en-US"/>
        </w:rPr>
      </w:pPr>
      <w:r>
        <w:rPr>
          <w:lang w:val="en-US"/>
        </w:rPr>
        <w:t>Professional Investors are deemed to be:</w:t>
      </w:r>
    </w:p>
    <w:p w14:paraId="7E6ECEDF">
      <w:pPr>
        <w:tabs>
          <w:tab w:val="left" w:pos="1440"/>
        </w:tabs>
        <w:spacing w:before="180" w:line="237" w:lineRule="auto"/>
        <w:ind w:left="1277" w:right="360"/>
        <w:jc w:val="both"/>
        <w:rPr>
          <w:lang w:val="en-US"/>
        </w:rPr>
      </w:pPr>
      <w:r>
        <w:rPr>
          <w:lang w:val="en-US"/>
        </w:rPr>
        <w:t>• Persons who are required to obtain authorization or are subject to supervision by regulatory authorities in order to operate in the financial market. These persons include credit institutions, investment firms, other financial institutions subject to authorization or supervision requirements, insurance companies, collective investment undertakings and their management companies, voluntary pension funds and their management companies, commodity and commodity derivatives dealers, other institutional investors, and other investors considered professional in accordance with European Union regulations.</w:t>
      </w:r>
    </w:p>
    <w:p w14:paraId="7C033AEB">
      <w:pPr>
        <w:spacing w:before="180" w:line="237" w:lineRule="auto"/>
        <w:ind w:right="360"/>
        <w:rPr>
          <w:lang w:val="en-US"/>
        </w:rPr>
      </w:pPr>
      <w:r>
        <w:rPr>
          <w:lang w:val="en-US"/>
        </w:rPr>
        <w:tab/>
      </w:r>
      <w:r>
        <w:rPr>
          <w:lang w:val="en-US"/>
        </w:rPr>
        <w:t xml:space="preserve">•          Legal entities that meet at least two of the following criteria: </w:t>
      </w:r>
    </w:p>
    <w:p w14:paraId="59BC7561">
      <w:pPr>
        <w:spacing w:before="180" w:line="237" w:lineRule="auto"/>
        <w:ind w:right="360"/>
        <w:rPr>
          <w:lang w:val="en-US"/>
        </w:rPr>
      </w:pPr>
    </w:p>
    <w:p w14:paraId="69C687F8">
      <w:pPr>
        <w:pStyle w:val="12"/>
        <w:numPr>
          <w:ilvl w:val="1"/>
          <w:numId w:val="9"/>
        </w:numPr>
        <w:tabs>
          <w:tab w:val="left" w:pos="1440"/>
        </w:tabs>
        <w:spacing w:before="180" w:line="237" w:lineRule="auto"/>
        <w:ind w:right="360"/>
        <w:jc w:val="both"/>
        <w:rPr>
          <w:lang w:val="en-US"/>
        </w:rPr>
      </w:pPr>
      <w:r>
        <w:rPr>
          <w:lang w:val="en-US"/>
        </w:rPr>
        <w:t xml:space="preserve">    Total assets amount to at least EUR 20 million in dinar equivalent calculated at the official mid- exchange rate of the dinar against the euro determined by the National Bank of Serbia;</w:t>
      </w:r>
    </w:p>
    <w:p w14:paraId="005B2112">
      <w:pPr>
        <w:pStyle w:val="12"/>
        <w:numPr>
          <w:ilvl w:val="1"/>
          <w:numId w:val="9"/>
        </w:numPr>
        <w:tabs>
          <w:tab w:val="left" w:pos="1440"/>
        </w:tabs>
        <w:spacing w:before="180" w:line="237" w:lineRule="auto"/>
        <w:ind w:right="360"/>
        <w:jc w:val="both"/>
        <w:rPr>
          <w:lang w:val="en-US"/>
        </w:rPr>
      </w:pPr>
      <w:r>
        <w:rPr>
          <w:lang w:val="en-US"/>
        </w:rPr>
        <w:t xml:space="preserve">   Annual business revenue amounts to at least EUR 40 million in dinar equivalent calculated at the official middle exchange rate of the dinar against the euro determined by the National Bank of Serbia;</w:t>
      </w:r>
    </w:p>
    <w:p w14:paraId="22A985FA">
      <w:pPr>
        <w:tabs>
          <w:tab w:val="left" w:pos="1440"/>
        </w:tabs>
        <w:spacing w:before="180" w:line="237" w:lineRule="auto"/>
        <w:ind w:left="284" w:right="360" w:hanging="284"/>
        <w:jc w:val="both"/>
        <w:rPr>
          <w:lang w:val="en-US"/>
        </w:rPr>
      </w:pPr>
      <w:r>
        <w:rPr>
          <w:lang w:val="en-US"/>
        </w:rPr>
        <w:t xml:space="preserve"> •   Equity capital amounts to at least EUR 2 million in dinar equivalent calculated at the official mid-exchange rate of </w:t>
      </w:r>
    </w:p>
    <w:p w14:paraId="0C38F1D9">
      <w:pPr>
        <w:tabs>
          <w:tab w:val="left" w:pos="1440"/>
        </w:tabs>
        <w:spacing w:before="180" w:line="237" w:lineRule="auto"/>
        <w:ind w:left="284" w:right="360" w:hanging="284"/>
        <w:jc w:val="both"/>
        <w:rPr>
          <w:lang w:val="en-US"/>
        </w:rPr>
      </w:pPr>
    </w:p>
    <w:p w14:paraId="653AD311">
      <w:pPr>
        <w:tabs>
          <w:tab w:val="left" w:pos="1440"/>
        </w:tabs>
        <w:spacing w:before="180" w:line="237" w:lineRule="auto"/>
        <w:ind w:left="284" w:right="-61" w:hanging="284"/>
        <w:jc w:val="both"/>
        <w:rPr>
          <w:lang w:val="en-US"/>
        </w:rPr>
      </w:pPr>
      <w:r>
        <w:rPr>
          <w:lang w:val="en-US"/>
        </w:rPr>
        <w:t xml:space="preserve">      the dinar against the euro determined by the National Bank of Serbia, state entities, such as the Republic of Serbia, autonomous provinces, and local self-government units, as well as other states or national and regional authorities, the National Bank of Serbia and central banks of other countries, international and supranational institutions such as the International Monetary Fund, the European Central Bank, the European Investment Bank, and other similar international organizations.</w:t>
      </w:r>
    </w:p>
    <w:p w14:paraId="1CC01DBA">
      <w:pPr>
        <w:tabs>
          <w:tab w:val="left" w:pos="1440"/>
        </w:tabs>
        <w:spacing w:before="180" w:line="237" w:lineRule="auto"/>
        <w:ind w:left="284" w:right="-61" w:hanging="284"/>
        <w:jc w:val="both"/>
        <w:rPr>
          <w:lang w:val="en-US"/>
        </w:rPr>
      </w:pPr>
      <w:r>
        <w:rPr>
          <w:lang w:val="en-US"/>
        </w:rPr>
        <w:t>•    Other institutional investors whose principal activity is investing in financial instruments, including entities engaged in asset securitization or other financing transactions.</w:t>
      </w:r>
    </w:p>
    <w:p w14:paraId="1141274A">
      <w:pPr>
        <w:tabs>
          <w:tab w:val="left" w:pos="1440"/>
        </w:tabs>
        <w:spacing w:before="180" w:line="237" w:lineRule="auto"/>
        <w:ind w:right="-61"/>
        <w:jc w:val="both"/>
        <w:rPr>
          <w:lang w:val="en-US"/>
        </w:rPr>
      </w:pPr>
      <w:r>
        <w:rPr>
          <w:lang w:val="en-US"/>
        </w:rPr>
        <w:t>The Bank may, at the client's request, treat a Retail Investor as a Professional Investor, or vice versa, subject to certain conditions. Professional Investors who wish to obtain a higher level of protection may request in writing to be treated as Retail Investors, while retail Investors who wish to obtain a lower level of protection may request to be treated as professional Investors.</w:t>
      </w:r>
    </w:p>
    <w:p w14:paraId="0B8CF6A3">
      <w:pPr>
        <w:tabs>
          <w:tab w:val="left" w:pos="1440"/>
        </w:tabs>
        <w:spacing w:before="180" w:line="237" w:lineRule="auto"/>
        <w:ind w:right="-61"/>
        <w:jc w:val="both"/>
        <w:rPr>
          <w:lang w:val="en-US"/>
        </w:rPr>
      </w:pPr>
      <w:r>
        <w:rPr>
          <w:lang w:val="en-US"/>
        </w:rPr>
        <w:t>To move to a higher level of protection (from professional Investor to retail Investor), the client must submit a written request, and the Bank and the client shall enter into an agreement specifying the services for which the client wishes to receive the higher level of protection.</w:t>
      </w:r>
    </w:p>
    <w:p w14:paraId="403715A6">
      <w:pPr>
        <w:pStyle w:val="6"/>
        <w:spacing w:line="256" w:lineRule="auto"/>
        <w:ind w:right="-61"/>
        <w:jc w:val="both"/>
      </w:pPr>
    </w:p>
    <w:p w14:paraId="64158045">
      <w:pPr>
        <w:pStyle w:val="6"/>
        <w:spacing w:before="156"/>
        <w:ind w:right="-61"/>
        <w:jc w:val="both"/>
        <w:rPr>
          <w:lang w:val="en-US"/>
        </w:rPr>
      </w:pPr>
      <w:r>
        <w:rPr>
          <w:lang w:val="en-US"/>
        </w:rPr>
        <w:t>To waive a higher level of protection (i.e., to move from Retail Investor to Professional Investor status), the client must submit a written request and declare that he/she is aware of the consequences of the reduced level of protection. The Bank will then assess whether the client possesses sufficient knowledge and experience to make investment decisions.</w:t>
      </w:r>
    </w:p>
    <w:p w14:paraId="27E6BDA5">
      <w:pPr>
        <w:pStyle w:val="6"/>
        <w:spacing w:before="156"/>
        <w:ind w:right="-61"/>
        <w:jc w:val="both"/>
        <w:rPr>
          <w:b/>
          <w:bCs/>
          <w:lang w:val="en-US"/>
        </w:rPr>
      </w:pPr>
      <w:r>
        <w:rPr>
          <w:b/>
          <w:bCs/>
          <w:lang w:val="en-US"/>
        </w:rPr>
        <w:t>ASSESSMENT OF SUITABILITY</w:t>
      </w:r>
    </w:p>
    <w:p w14:paraId="5A062FF7">
      <w:pPr>
        <w:pStyle w:val="6"/>
        <w:spacing w:before="156"/>
        <w:ind w:right="-61"/>
        <w:jc w:val="both"/>
        <w:rPr>
          <w:lang w:val="en-US"/>
        </w:rPr>
      </w:pPr>
      <w:r>
        <w:rPr>
          <w:lang w:val="en-US"/>
        </w:rPr>
        <w:t>When providing investment advisory services or portfolio management services, the Bank is required to obtain the necessary information regarding the knowledge and experience of the client or potential client in the investment field relevant to the specific type of product or service, the client's financial situation, including the ability to bear losses, as well as the client's investment objectives and risk tolerance, in order to be able to recommend an investment service or financial instrument that is suitable for the client and consistent with the client's risk tolerance and ability to bear losses.</w:t>
      </w:r>
    </w:p>
    <w:p w14:paraId="37C9329A">
      <w:pPr>
        <w:pStyle w:val="6"/>
        <w:spacing w:before="156"/>
        <w:jc w:val="both"/>
        <w:rPr>
          <w:lang w:val="en-US"/>
        </w:rPr>
      </w:pPr>
      <w:r>
        <w:rPr>
          <w:lang w:val="en-US"/>
        </w:rPr>
        <w:t>Based on the information provided by the client, the Bank prepares a profile of the knowledge and experience of the client or potential client—being a retail client—in the investment field relevant to the specific type of product or service (taking into account the nature of the client, the nature and scope of the services, and the type and complexity of the product or transaction), in order to assess whether the product or investment service offered to or requested by the client is suitable. In the case of a client or potential client classified as a professional Investor or a qualified investor, the Bank may assume that such client possesses the necessary knowledge and experience to understand and assess the risks associated with the investment services and transactions for which the client has been classified as a professional Investor.</w:t>
      </w:r>
    </w:p>
    <w:p w14:paraId="1CD1094D">
      <w:pPr>
        <w:pStyle w:val="8"/>
        <w:spacing w:before="0" w:beforeAutospacing="0" w:after="0" w:afterAutospacing="0" w:line="276" w:lineRule="auto"/>
        <w:rPr>
          <w:rFonts w:ascii="Arial Narrow" w:hAnsi="Arial Narrow"/>
          <w:sz w:val="22"/>
          <w:szCs w:val="22"/>
        </w:rPr>
      </w:pPr>
    </w:p>
    <w:p w14:paraId="3229BB6D">
      <w:pPr>
        <w:pStyle w:val="8"/>
        <w:spacing w:before="0" w:beforeAutospacing="0" w:after="0" w:afterAutospacing="0" w:line="276" w:lineRule="auto"/>
        <w:rPr>
          <w:rFonts w:ascii="Arial Narrow" w:hAnsi="Arial Narrow"/>
          <w:sz w:val="22"/>
          <w:szCs w:val="22"/>
        </w:rPr>
      </w:pPr>
      <w:r>
        <w:rPr>
          <w:rFonts w:ascii="Arial Narrow" w:hAnsi="Arial Narrow"/>
          <w:sz w:val="22"/>
          <w:szCs w:val="22"/>
        </w:rPr>
        <w:t>The above-mentioned retail client's knowledge and experience profile must contain the following information:</w:t>
      </w:r>
    </w:p>
    <w:p w14:paraId="3749413E">
      <w:pPr>
        <w:pStyle w:val="8"/>
        <w:spacing w:before="0" w:beforeAutospacing="0" w:after="0" w:afterAutospacing="0" w:line="276" w:lineRule="auto"/>
        <w:rPr>
          <w:rFonts w:ascii="Arial Narrow" w:hAnsi="Arial Narrow"/>
          <w:sz w:val="10"/>
          <w:szCs w:val="10"/>
        </w:rPr>
      </w:pPr>
    </w:p>
    <w:p w14:paraId="06081CF1">
      <w:pPr>
        <w:pStyle w:val="8"/>
        <w:spacing w:before="0" w:beforeAutospacing="0" w:after="0" w:afterAutospacing="0" w:line="360" w:lineRule="auto"/>
        <w:rPr>
          <w:rFonts w:ascii="Arial Narrow" w:hAnsi="Arial Narrow"/>
          <w:sz w:val="22"/>
          <w:szCs w:val="22"/>
        </w:rPr>
      </w:pPr>
      <w:r>
        <w:rPr>
          <w:rFonts w:ascii="Arial Narrow" w:hAnsi="Arial Narrow"/>
          <w:sz w:val="22"/>
          <w:szCs w:val="22"/>
        </w:rPr>
        <w:t>• Basic client information;</w:t>
      </w:r>
    </w:p>
    <w:p w14:paraId="004B02F3">
      <w:pPr>
        <w:pStyle w:val="8"/>
        <w:spacing w:before="0" w:beforeAutospacing="0" w:after="0" w:afterAutospacing="0" w:line="360" w:lineRule="auto"/>
        <w:ind w:left="-1"/>
        <w:rPr>
          <w:rFonts w:ascii="Arial Narrow" w:hAnsi="Arial Narrow"/>
          <w:sz w:val="22"/>
          <w:szCs w:val="22"/>
        </w:rPr>
      </w:pPr>
      <w:r>
        <w:rPr>
          <w:rFonts w:ascii="Arial Narrow" w:hAnsi="Arial Narrow"/>
          <w:sz w:val="22"/>
          <w:szCs w:val="22"/>
        </w:rPr>
        <w:t>• The types of services, transactions, and financial instruments with which the client is familiar;</w:t>
      </w:r>
    </w:p>
    <w:p w14:paraId="3CA2DCD8">
      <w:pPr>
        <w:pStyle w:val="8"/>
        <w:spacing w:before="0" w:beforeAutospacing="0" w:after="0" w:afterAutospacing="0" w:line="360" w:lineRule="auto"/>
        <w:ind w:left="-1"/>
        <w:rPr>
          <w:rFonts w:ascii="Arial Narrow" w:hAnsi="Arial Narrow"/>
          <w:sz w:val="22"/>
          <w:szCs w:val="22"/>
        </w:rPr>
      </w:pPr>
    </w:p>
    <w:p w14:paraId="58BCDCFF">
      <w:pPr>
        <w:pStyle w:val="8"/>
        <w:spacing w:before="0" w:beforeAutospacing="0" w:after="0" w:afterAutospacing="0" w:line="360" w:lineRule="auto"/>
        <w:rPr>
          <w:rFonts w:ascii="Arial Narrow" w:hAnsi="Arial Narrow"/>
          <w:sz w:val="22"/>
          <w:szCs w:val="22"/>
        </w:rPr>
      </w:pPr>
      <w:r>
        <w:rPr>
          <w:rFonts w:ascii="Arial Narrow" w:hAnsi="Arial Narrow"/>
          <w:sz w:val="22"/>
          <w:szCs w:val="22"/>
        </w:rPr>
        <w:t>• The nature, value, and frequency of transactions, as well as the period during which they were carried out;</w:t>
      </w:r>
    </w:p>
    <w:p w14:paraId="60770FBB">
      <w:pPr>
        <w:pStyle w:val="8"/>
        <w:spacing w:before="0" w:beforeAutospacing="0" w:after="0" w:afterAutospacing="0" w:line="360" w:lineRule="auto"/>
        <w:rPr>
          <w:rFonts w:ascii="Arial Narrow" w:hAnsi="Arial Narrow"/>
          <w:sz w:val="22"/>
          <w:szCs w:val="22"/>
        </w:rPr>
      </w:pPr>
      <w:r>
        <w:rPr>
          <w:rFonts w:ascii="Arial Narrow" w:hAnsi="Arial Narrow"/>
          <w:sz w:val="22"/>
          <w:szCs w:val="22"/>
        </w:rPr>
        <w:t>• The client's qualifications and current occupation;</w:t>
      </w:r>
    </w:p>
    <w:p w14:paraId="52A37324">
      <w:pPr>
        <w:pStyle w:val="8"/>
        <w:spacing w:before="0" w:beforeAutospacing="0" w:after="0" w:afterAutospacing="0" w:line="360" w:lineRule="auto"/>
        <w:rPr>
          <w:rFonts w:ascii="Arial Narrow" w:hAnsi="Arial Narrow"/>
          <w:sz w:val="22"/>
          <w:szCs w:val="22"/>
        </w:rPr>
      </w:pPr>
      <w:r>
        <w:rPr>
          <w:rFonts w:ascii="Arial Narrow" w:hAnsi="Arial Narrow"/>
          <w:sz w:val="22"/>
          <w:szCs w:val="22"/>
        </w:rPr>
        <w:t>• The specific type of product or investment service offered by the Bank or requested by the client.</w:t>
      </w:r>
    </w:p>
    <w:p w14:paraId="65A0F5B1">
      <w:pPr>
        <w:pStyle w:val="8"/>
        <w:spacing w:before="0" w:beforeAutospacing="0" w:after="0" w:afterAutospacing="0" w:line="360" w:lineRule="auto"/>
        <w:rPr>
          <w:rFonts w:ascii="Arial Narrow" w:hAnsi="Arial Narrow"/>
          <w:sz w:val="22"/>
          <w:szCs w:val="22"/>
        </w:rPr>
      </w:pPr>
    </w:p>
    <w:p w14:paraId="4098BD6F">
      <w:pPr>
        <w:pStyle w:val="8"/>
        <w:spacing w:before="0" w:beforeAutospacing="0" w:after="0" w:afterAutospacing="0"/>
        <w:rPr>
          <w:rFonts w:ascii="Arial Narrow" w:hAnsi="Arial Narrow"/>
          <w:sz w:val="22"/>
          <w:szCs w:val="22"/>
        </w:rPr>
      </w:pPr>
    </w:p>
    <w:p w14:paraId="63850FBB">
      <w:pPr>
        <w:pStyle w:val="8"/>
        <w:jc w:val="both"/>
        <w:rPr>
          <w:rFonts w:ascii="Arial Narrow" w:hAnsi="Arial Narrow"/>
          <w:sz w:val="22"/>
          <w:szCs w:val="22"/>
        </w:rPr>
      </w:pPr>
      <w:r>
        <w:rPr>
          <w:rFonts w:ascii="Arial Narrow" w:hAnsi="Arial Narrow"/>
          <w:sz w:val="22"/>
          <w:szCs w:val="22"/>
        </w:rPr>
        <w:t>The profile is prepared on the basis of the Bank's prescribed form, which is made available to every client or potential client when entering into the relevant services and activities.</w:t>
      </w:r>
    </w:p>
    <w:p w14:paraId="02B9691B">
      <w:pPr>
        <w:pStyle w:val="8"/>
        <w:jc w:val="both"/>
        <w:rPr>
          <w:rFonts w:ascii="Arial Narrow" w:hAnsi="Arial Narrow"/>
          <w:sz w:val="22"/>
          <w:szCs w:val="22"/>
        </w:rPr>
      </w:pPr>
      <w:r>
        <w:rPr>
          <w:rFonts w:ascii="Arial Narrow" w:hAnsi="Arial Narrow"/>
          <w:sz w:val="22"/>
          <w:szCs w:val="22"/>
        </w:rPr>
        <w:t>If the Bank determines that a particular product or service is not suitable for the client, the client will be warned accordingly. If the client nevertheless wishes to use the service at his or her own responsibility, the client must sign a declaration confirming the intention to use the service at his or her own responsibility.</w:t>
      </w:r>
    </w:p>
    <w:p w14:paraId="1E01E111">
      <w:pPr>
        <w:pStyle w:val="8"/>
        <w:rPr>
          <w:rFonts w:ascii="Arial Narrow" w:hAnsi="Arial Narrow"/>
          <w:sz w:val="22"/>
          <w:szCs w:val="22"/>
        </w:rPr>
      </w:pPr>
      <w:r>
        <w:rPr>
          <w:rFonts w:ascii="Arial Narrow" w:hAnsi="Arial Narrow"/>
          <w:sz w:val="22"/>
          <w:szCs w:val="22"/>
        </w:rPr>
        <w:t>The Bank may provide investment services consisting solely of the execution of orders or the reception and transmission of orders without conducting any additional suitability or appropriateness assessment, provided that certain conditions are met, including that the service is provided at the client's initiative:</w:t>
      </w:r>
    </w:p>
    <w:p w14:paraId="3B8FA4F0">
      <w:pPr>
        <w:pStyle w:val="12"/>
        <w:numPr>
          <w:ilvl w:val="0"/>
          <w:numId w:val="10"/>
        </w:numPr>
        <w:tabs>
          <w:tab w:val="left" w:pos="211"/>
        </w:tabs>
        <w:spacing w:before="150"/>
        <w:ind w:hanging="211"/>
        <w:jc w:val="both"/>
        <w:rPr>
          <w:rFonts w:eastAsia="Times New Roman" w:cs="Times New Roman"/>
          <w:lang w:val="en-US"/>
        </w:rPr>
      </w:pPr>
      <w:r>
        <w:rPr>
          <w:rFonts w:eastAsia="Times New Roman" w:cs="Times New Roman"/>
          <w:lang w:val="en-US"/>
        </w:rPr>
        <w:t xml:space="preserve">the above-mentioned services relate to one of the following financial instruments: </w:t>
      </w:r>
    </w:p>
    <w:p w14:paraId="10B7609C">
      <w:pPr>
        <w:pStyle w:val="12"/>
        <w:tabs>
          <w:tab w:val="left" w:pos="567"/>
        </w:tabs>
        <w:spacing w:before="150"/>
        <w:ind w:left="709" w:hanging="498"/>
        <w:jc w:val="both"/>
        <w:rPr>
          <w:rFonts w:eastAsia="Times New Roman" w:cs="Times New Roman"/>
          <w:lang w:val="en-US"/>
        </w:rPr>
      </w:pPr>
      <w:r>
        <w:rPr>
          <w:rFonts w:eastAsia="Times New Roman" w:cs="Times New Roman"/>
          <w:lang w:val="en-US"/>
        </w:rPr>
        <w:tab/>
      </w:r>
      <w:r>
        <w:rPr>
          <w:rFonts w:eastAsia="Times New Roman" w:cs="Times New Roman"/>
          <w:lang w:val="en-US"/>
        </w:rPr>
        <w:t>• shares admitted to trading on a regulated market, an equivalent third-country market, or an MTF, provided that such shares are shares of companies and are neither shares in alternative investment funds nor shares incorporating a derivative financial instrument;</w:t>
      </w:r>
    </w:p>
    <w:p w14:paraId="6602024F">
      <w:pPr>
        <w:pStyle w:val="12"/>
        <w:spacing w:before="150"/>
        <w:ind w:left="426" w:hanging="215"/>
        <w:jc w:val="both"/>
        <w:rPr>
          <w:rFonts w:eastAsia="Times New Roman" w:cs="Times New Roman"/>
          <w:lang w:val="en-US"/>
        </w:rPr>
      </w:pPr>
      <w:r>
        <w:rPr>
          <w:rFonts w:eastAsia="Times New Roman" w:cs="Times New Roman"/>
          <w:lang w:val="en-US"/>
        </w:rPr>
        <w:tab/>
      </w:r>
      <w:r>
        <w:rPr>
          <w:rFonts w:eastAsia="Times New Roman" w:cs="Times New Roman"/>
          <w:lang w:val="en-US"/>
        </w:rPr>
        <w:t xml:space="preserve">  • bonds or other forms of securitized debt admitted to trading on a regulated market, an equivalent third-country market, or an MTF, excluding those that incorporate a derivative financial instrument or are structured in a manner that makes it difficult for the client to understand the risks involved;</w:t>
      </w:r>
    </w:p>
    <w:p w14:paraId="761F6F08">
      <w:pPr>
        <w:tabs>
          <w:tab w:val="left" w:pos="567"/>
        </w:tabs>
        <w:spacing w:before="150"/>
        <w:ind w:left="426" w:hanging="427"/>
        <w:jc w:val="both"/>
        <w:rPr>
          <w:rFonts w:eastAsia="Times New Roman" w:cs="Times New Roman"/>
          <w:lang w:val="en-US"/>
        </w:rPr>
      </w:pPr>
      <w:r>
        <w:rPr>
          <w:rFonts w:eastAsia="Times New Roman" w:cs="Times New Roman"/>
          <w:lang w:val="en-US"/>
        </w:rPr>
        <w:tab/>
      </w:r>
      <w:r>
        <w:rPr>
          <w:rFonts w:eastAsia="Times New Roman" w:cs="Times New Roman"/>
          <w:lang w:val="en-US"/>
        </w:rPr>
        <w:t xml:space="preserve"> • money market instruments, excluding those that incorporate a derivative financial instrument or are structured in a manner that makes it difficult for the client to understand the risks involved;</w:t>
      </w:r>
    </w:p>
    <w:p w14:paraId="2EF37A0C">
      <w:pPr>
        <w:pStyle w:val="12"/>
        <w:tabs>
          <w:tab w:val="left" w:pos="567"/>
        </w:tabs>
        <w:spacing w:before="150"/>
        <w:ind w:left="426" w:hanging="215"/>
        <w:jc w:val="both"/>
        <w:rPr>
          <w:rFonts w:eastAsia="Times New Roman" w:cs="Times New Roman"/>
          <w:lang w:val="en-US"/>
        </w:rPr>
      </w:pPr>
      <w:r>
        <w:rPr>
          <w:rFonts w:eastAsia="Times New Roman" w:cs="Times New Roman"/>
          <w:lang w:val="en-US"/>
        </w:rPr>
        <w:tab/>
      </w:r>
      <w:r>
        <w:rPr>
          <w:rFonts w:eastAsia="Times New Roman" w:cs="Times New Roman"/>
          <w:lang w:val="en-US"/>
        </w:rPr>
        <w:t xml:space="preserve"> • shares or units in a UCITS fund, excluding structured UCITS funds, in accordance with the law governing open-ended investment funds with a public offering;</w:t>
      </w:r>
    </w:p>
    <w:p w14:paraId="4D9DE6D1">
      <w:pPr>
        <w:pStyle w:val="12"/>
        <w:tabs>
          <w:tab w:val="left" w:pos="567"/>
        </w:tabs>
        <w:spacing w:before="150"/>
        <w:ind w:left="426" w:hanging="215"/>
        <w:jc w:val="both"/>
        <w:rPr>
          <w:rFonts w:eastAsia="Times New Roman" w:cs="Times New Roman"/>
          <w:lang w:val="en-US"/>
        </w:rPr>
      </w:pPr>
      <w:r>
        <w:rPr>
          <w:rFonts w:eastAsia="Times New Roman" w:cs="Times New Roman"/>
          <w:lang w:val="en-US"/>
        </w:rPr>
        <w:tab/>
      </w:r>
      <w:r>
        <w:rPr>
          <w:rFonts w:eastAsia="Times New Roman" w:cs="Times New Roman"/>
          <w:lang w:val="en-US"/>
        </w:rPr>
        <w:t xml:space="preserve"> • structured deposits, excluding those that are structured in a manner that makes it difficult for the client to understand the risk of return or the costs associated with early withdrawal from the product;</w:t>
      </w:r>
    </w:p>
    <w:p w14:paraId="3DACAC34">
      <w:pPr>
        <w:tabs>
          <w:tab w:val="left" w:pos="0"/>
          <w:tab w:val="left" w:pos="142"/>
          <w:tab w:val="left" w:pos="426"/>
        </w:tabs>
        <w:spacing w:before="150"/>
        <w:jc w:val="both"/>
        <w:rPr>
          <w:rFonts w:eastAsia="Times New Roman" w:cs="Times New Roman"/>
          <w:lang w:val="en-US"/>
        </w:rPr>
      </w:pPr>
      <w:r>
        <w:rPr>
          <w:rFonts w:eastAsia="Times New Roman" w:cs="Times New Roman"/>
          <w:lang w:val="en-US"/>
        </w:rPr>
        <w:tab/>
      </w:r>
      <w:r>
        <w:rPr>
          <w:rFonts w:eastAsia="Times New Roman" w:cs="Times New Roman"/>
          <w:lang w:val="en-US"/>
        </w:rPr>
        <w:tab/>
      </w:r>
      <w:r>
        <w:rPr>
          <w:rFonts w:eastAsia="Times New Roman" w:cs="Times New Roman"/>
          <w:lang w:val="en-US"/>
        </w:rPr>
        <w:t xml:space="preserve"> • other non-complex financial instruments, for the purposes of this provision.</w:t>
      </w:r>
    </w:p>
    <w:p w14:paraId="24571D49">
      <w:pPr>
        <w:pStyle w:val="12"/>
        <w:numPr>
          <w:ilvl w:val="0"/>
          <w:numId w:val="10"/>
        </w:numPr>
        <w:tabs>
          <w:tab w:val="left" w:pos="211"/>
        </w:tabs>
        <w:spacing w:before="150"/>
        <w:ind w:hanging="211"/>
        <w:jc w:val="both"/>
        <w:rPr>
          <w:rFonts w:eastAsia="Times New Roman" w:cs="Times New Roman"/>
          <w:lang w:val="en-US"/>
        </w:rPr>
      </w:pPr>
      <w:r>
        <w:rPr>
          <w:rFonts w:eastAsia="Times New Roman" w:cs="Times New Roman"/>
          <w:lang w:val="en-US"/>
        </w:rPr>
        <w:t xml:space="preserve">the service is provided at the initiative of the client or potential client; </w:t>
      </w:r>
    </w:p>
    <w:p w14:paraId="3D0B3D8E">
      <w:pPr>
        <w:pStyle w:val="12"/>
        <w:numPr>
          <w:ilvl w:val="0"/>
          <w:numId w:val="10"/>
        </w:numPr>
        <w:tabs>
          <w:tab w:val="left" w:pos="211"/>
        </w:tabs>
        <w:spacing w:before="150"/>
        <w:ind w:hanging="211"/>
        <w:jc w:val="both"/>
        <w:rPr>
          <w:rFonts w:eastAsia="Times New Roman" w:cs="Times New Roman"/>
          <w:lang w:val="en-US"/>
        </w:rPr>
      </w:pPr>
      <w:r>
        <w:rPr>
          <w:rFonts w:eastAsia="Times New Roman" w:cs="Times New Roman"/>
          <w:lang w:val="en-US"/>
        </w:rPr>
        <w:t>the client or potential client has been clearly informed that, when providing the relevant service, the investment firm is under no obligation to assess the appropriateness of the financial instrument or service provided or offered and that, consequently, the client does not benefit from the protection afforded by the relevant conduct-of-business rules. This warning may be provided in a standardized form.</w:t>
      </w:r>
    </w:p>
    <w:p w14:paraId="47BE64FD">
      <w:pPr>
        <w:pStyle w:val="12"/>
        <w:numPr>
          <w:ilvl w:val="0"/>
          <w:numId w:val="10"/>
        </w:numPr>
        <w:tabs>
          <w:tab w:val="left" w:pos="211"/>
        </w:tabs>
        <w:spacing w:before="150"/>
        <w:ind w:hanging="211"/>
        <w:jc w:val="both"/>
      </w:pPr>
      <w:r>
        <w:t>Ithe investment company meets the requirements set forth in Article 176 of this law</w:t>
      </w:r>
      <w:r>
        <w:rPr>
          <w:spacing w:val="-2"/>
        </w:rPr>
        <w:t>.</w:t>
      </w:r>
    </w:p>
    <w:p w14:paraId="6E351EDD">
      <w:pPr>
        <w:pStyle w:val="6"/>
      </w:pPr>
    </w:p>
    <w:p w14:paraId="498F27BC">
      <w:pPr>
        <w:pStyle w:val="3"/>
        <w:spacing w:before="155"/>
        <w:rPr>
          <w:lang w:val="en-US"/>
        </w:rPr>
      </w:pPr>
      <w:r>
        <w:rPr>
          <w:lang w:val="en-US"/>
        </w:rPr>
        <w:t>ADDITIONAL INFORMATION ON FINANCIAL INSTRUMENTS</w:t>
      </w:r>
    </w:p>
    <w:p w14:paraId="13F42C32">
      <w:pPr>
        <w:pStyle w:val="3"/>
        <w:spacing w:before="155"/>
        <w:rPr>
          <w:b w:val="0"/>
          <w:bCs w:val="0"/>
          <w:lang w:val="en-US"/>
        </w:rPr>
      </w:pPr>
      <w:r>
        <w:rPr>
          <w:b w:val="0"/>
          <w:bCs w:val="0"/>
          <w:lang w:val="en-US"/>
        </w:rPr>
        <w:t>When providing information on financial instruments, the Bank is required to:</w:t>
      </w:r>
    </w:p>
    <w:p w14:paraId="13E9CF46">
      <w:pPr>
        <w:pStyle w:val="3"/>
        <w:spacing w:before="155"/>
        <w:rPr>
          <w:b w:val="0"/>
          <w:bCs w:val="0"/>
          <w:lang w:val="en-US"/>
        </w:rPr>
      </w:pPr>
    </w:p>
    <w:p w14:paraId="59CE8BD0">
      <w:pPr>
        <w:pStyle w:val="3"/>
        <w:spacing w:before="0" w:line="276" w:lineRule="auto"/>
        <w:rPr>
          <w:b w:val="0"/>
          <w:bCs w:val="0"/>
          <w:lang w:val="en-US"/>
        </w:rPr>
      </w:pPr>
      <w:r>
        <w:rPr>
          <w:b w:val="0"/>
          <w:bCs w:val="0"/>
          <w:lang w:val="en-US"/>
        </w:rPr>
        <w:t xml:space="preserve">• Inform a retail Investor and a prospective Retail Investor of the manner in which the prospectus is made available prior </w:t>
      </w:r>
    </w:p>
    <w:p w14:paraId="396E2066">
      <w:pPr>
        <w:pStyle w:val="3"/>
        <w:spacing w:before="0" w:line="276" w:lineRule="auto"/>
        <w:rPr>
          <w:b w:val="0"/>
          <w:bCs w:val="0"/>
          <w:lang w:val="en-US"/>
        </w:rPr>
      </w:pPr>
    </w:p>
    <w:p w14:paraId="195025ED">
      <w:pPr>
        <w:pStyle w:val="3"/>
        <w:spacing w:before="0" w:line="276" w:lineRule="auto"/>
        <w:rPr>
          <w:b w:val="0"/>
          <w:bCs w:val="0"/>
          <w:lang w:val="en-US"/>
        </w:rPr>
      </w:pPr>
      <w:r>
        <w:rPr>
          <w:b w:val="0"/>
          <w:bCs w:val="0"/>
          <w:lang w:val="en-US"/>
        </w:rPr>
        <w:t>to the provision of the service.</w:t>
      </w:r>
    </w:p>
    <w:p w14:paraId="32CBAB92">
      <w:pPr>
        <w:pStyle w:val="3"/>
        <w:spacing w:before="0" w:line="276" w:lineRule="auto"/>
        <w:rPr>
          <w:b w:val="0"/>
          <w:bCs w:val="0"/>
          <w:lang w:val="en-US"/>
        </w:rPr>
      </w:pPr>
      <w:r>
        <w:rPr>
          <w:b w:val="0"/>
          <w:bCs w:val="0"/>
          <w:lang w:val="en-US"/>
        </w:rPr>
        <w:t>• Provide sufficient information regarding any guarantee or capital protection if the financial instrument includes such features.</w:t>
      </w:r>
    </w:p>
    <w:p w14:paraId="52EE9635">
      <w:pPr>
        <w:pStyle w:val="3"/>
        <w:spacing w:before="0" w:line="276" w:lineRule="auto"/>
        <w:rPr>
          <w:b w:val="0"/>
          <w:bCs w:val="0"/>
          <w:lang w:val="en-US"/>
        </w:rPr>
      </w:pPr>
    </w:p>
    <w:p w14:paraId="4A81DBE7">
      <w:pPr>
        <w:pStyle w:val="3"/>
        <w:spacing w:before="0" w:line="276" w:lineRule="auto"/>
        <w:rPr>
          <w:b w:val="0"/>
          <w:bCs w:val="0"/>
          <w:lang w:val="en-US"/>
        </w:rPr>
      </w:pPr>
      <w:r>
        <w:rPr>
          <w:b w:val="0"/>
          <w:bCs w:val="0"/>
          <w:lang w:val="en-US"/>
        </w:rPr>
        <w:t>• Provide an appropriate description of the legal nature of a financial instrument that consists of multiple components, instruments, or services.</w:t>
      </w:r>
    </w:p>
    <w:p w14:paraId="18DCE205">
      <w:pPr>
        <w:pStyle w:val="3"/>
        <w:spacing w:before="0"/>
        <w:rPr>
          <w:b w:val="0"/>
          <w:bCs w:val="0"/>
          <w:lang w:val="en-US"/>
        </w:rPr>
      </w:pPr>
    </w:p>
    <w:p w14:paraId="72DDFAEA">
      <w:pPr>
        <w:pStyle w:val="3"/>
        <w:spacing w:before="155"/>
        <w:rPr>
          <w:lang w:val="en-US"/>
        </w:rPr>
      </w:pPr>
      <w:r>
        <w:rPr>
          <w:lang w:val="en-US"/>
        </w:rPr>
        <w:t>HANDLING OF CLIENT ORDERS</w:t>
      </w:r>
    </w:p>
    <w:p w14:paraId="48EFE695">
      <w:pPr>
        <w:pStyle w:val="3"/>
        <w:spacing w:before="155"/>
        <w:rPr>
          <w:lang w:val="en-US"/>
        </w:rPr>
      </w:pPr>
      <w:r>
        <w:rPr>
          <w:lang w:val="en-US"/>
        </w:rPr>
        <w:t>Methods of Receiving Orders</w:t>
      </w:r>
    </w:p>
    <w:p w14:paraId="366DBA78">
      <w:pPr>
        <w:pStyle w:val="3"/>
        <w:spacing w:before="155"/>
        <w:jc w:val="both"/>
        <w:rPr>
          <w:b w:val="0"/>
          <w:bCs w:val="0"/>
          <w:lang w:val="en-US"/>
        </w:rPr>
      </w:pPr>
      <w:r>
        <w:rPr>
          <w:b w:val="0"/>
          <w:bCs w:val="0"/>
          <w:lang w:val="en-US"/>
        </w:rPr>
        <w:t>The Bank may receive orders in writing, electronically through an application, by e-mail, by telephone, or through other secure electronic communication systems (SWIFT, Bloomberg, Reuters, etc.). A client may submit an order in person at the Bank's registered office or at authorized branches. The order must be signed and must correspond to the information obtained during the client's prior identification.</w:t>
      </w:r>
    </w:p>
    <w:p w14:paraId="44E7140B">
      <w:pPr>
        <w:pStyle w:val="3"/>
        <w:spacing w:before="155"/>
        <w:jc w:val="both"/>
        <w:rPr>
          <w:lang w:val="en-US"/>
        </w:rPr>
      </w:pPr>
    </w:p>
    <w:p w14:paraId="2A976D5B">
      <w:pPr>
        <w:pStyle w:val="3"/>
        <w:spacing w:before="155"/>
        <w:jc w:val="both"/>
        <w:rPr>
          <w:lang w:val="en-US"/>
        </w:rPr>
      </w:pPr>
      <w:r>
        <w:rPr>
          <w:lang w:val="en-US"/>
        </w:rPr>
        <w:t>Execution of Orders</w:t>
      </w:r>
    </w:p>
    <w:p w14:paraId="0E4AF4C8">
      <w:pPr>
        <w:pStyle w:val="3"/>
        <w:spacing w:before="155"/>
        <w:jc w:val="both"/>
        <w:rPr>
          <w:b w:val="0"/>
          <w:bCs w:val="0"/>
          <w:lang w:val="en-US"/>
        </w:rPr>
      </w:pPr>
      <w:r>
        <w:rPr>
          <w:b w:val="0"/>
          <w:bCs w:val="0"/>
          <w:lang w:val="en-US"/>
        </w:rPr>
        <w:t>The Bank shall execute client orders in accordance with its internal procedures and shall always endeavor to achieve the most favorable terms for the client, unless the client specifies otherwise in the order. The Bank ensures prompt and proper execution of orders according to the time of receipt and continuously monitors the correctness of orders.</w:t>
      </w:r>
    </w:p>
    <w:p w14:paraId="2B10418B">
      <w:pPr>
        <w:pStyle w:val="3"/>
        <w:spacing w:before="155"/>
        <w:jc w:val="both"/>
        <w:rPr>
          <w:b w:val="0"/>
          <w:bCs w:val="0"/>
          <w:lang w:val="en-US"/>
        </w:rPr>
      </w:pPr>
    </w:p>
    <w:p w14:paraId="6C9D6363">
      <w:pPr>
        <w:pStyle w:val="3"/>
        <w:spacing w:before="155"/>
        <w:rPr>
          <w:lang w:val="en-US"/>
        </w:rPr>
      </w:pPr>
      <w:r>
        <w:rPr>
          <w:lang w:val="en-US"/>
        </w:rPr>
        <w:t>Achieving the Best Possible Outcome for the Client</w:t>
      </w:r>
    </w:p>
    <w:p w14:paraId="6CFAB8C9">
      <w:pPr>
        <w:pStyle w:val="3"/>
        <w:spacing w:before="155"/>
        <w:jc w:val="both"/>
        <w:rPr>
          <w:b w:val="0"/>
          <w:bCs w:val="0"/>
          <w:lang w:val="en-US"/>
        </w:rPr>
      </w:pPr>
      <w:r>
        <w:rPr>
          <w:b w:val="0"/>
          <w:bCs w:val="0"/>
          <w:lang w:val="en-US"/>
        </w:rPr>
        <w:t>The Bank takes all necessary steps to achieve the best possible result for the client when executing orders, taking into account price, costs, speed, likelihood of execution, settlement, order size, and any other relevant factors. Where the client provides specific instructions, the Bank shall execute the order in accordance with those instructions.</w:t>
      </w:r>
    </w:p>
    <w:p w14:paraId="698FDF8B">
      <w:pPr>
        <w:pStyle w:val="3"/>
        <w:spacing w:before="155"/>
        <w:jc w:val="both"/>
        <w:rPr>
          <w:b w:val="0"/>
          <w:bCs w:val="0"/>
          <w:lang w:val="en-US"/>
        </w:rPr>
      </w:pPr>
      <w:r>
        <w:rPr>
          <w:b w:val="0"/>
          <w:bCs w:val="0"/>
          <w:lang w:val="en-US"/>
        </w:rPr>
        <w:t>When the Bank receives a client order containing specific instructions regarding its execution, the obligation to achieve the best possible outcome for the client shall be deemed fulfilled.</w:t>
      </w:r>
    </w:p>
    <w:p w14:paraId="4F7FC052">
      <w:pPr>
        <w:pStyle w:val="3"/>
        <w:spacing w:before="155"/>
        <w:jc w:val="both"/>
        <w:rPr>
          <w:b w:val="0"/>
          <w:bCs w:val="0"/>
          <w:lang w:val="en-US"/>
        </w:rPr>
      </w:pPr>
      <w:r>
        <w:rPr>
          <w:b w:val="0"/>
          <w:bCs w:val="0"/>
          <w:lang w:val="en-US"/>
        </w:rPr>
        <w:t>When executing an order for a Retail Client, the achievement of the best possible outcome is determined on the basis of the total consideration of the transaction. The total consideration comprises the price of the financial instrument and all costs directly related to the execution of the order, including trading venue fees, clearing and settlement fees, the Bank's commission, as well as any other fees payable to third parties involved in the execution of the order.</w:t>
      </w:r>
    </w:p>
    <w:p w14:paraId="7123E90A">
      <w:pPr>
        <w:pStyle w:val="3"/>
        <w:spacing w:before="155"/>
        <w:rPr>
          <w:b w:val="0"/>
          <w:bCs w:val="0"/>
          <w:lang w:val="en-US"/>
        </w:rPr>
      </w:pPr>
    </w:p>
    <w:p w14:paraId="5D70CDD7">
      <w:pPr>
        <w:pStyle w:val="6"/>
        <w:spacing w:before="93"/>
        <w:rPr>
          <w:b/>
          <w:bCs/>
          <w:lang w:val="en-US"/>
        </w:rPr>
      </w:pPr>
      <w:r>
        <w:rPr>
          <w:b/>
          <w:bCs/>
          <w:lang w:val="en-US"/>
        </w:rPr>
        <w:t>Execution Venues</w:t>
      </w:r>
    </w:p>
    <w:p w14:paraId="4B959F1A">
      <w:pPr>
        <w:pStyle w:val="6"/>
        <w:spacing w:before="93"/>
        <w:jc w:val="both"/>
        <w:rPr>
          <w:lang w:val="en-US"/>
        </w:rPr>
      </w:pPr>
      <w:r>
        <w:rPr>
          <w:lang w:val="en-US"/>
        </w:rPr>
        <w:t>When providing order execution and/or reception and transmission services on behalf of and for the account of a client, the Bank shall select an execution venue that enables execution under the most favorable conditions.</w:t>
      </w:r>
    </w:p>
    <w:p w14:paraId="460574CC">
      <w:pPr>
        <w:pStyle w:val="6"/>
        <w:spacing w:before="93"/>
        <w:jc w:val="both"/>
        <w:rPr>
          <w:lang w:val="en-US"/>
        </w:rPr>
      </w:pPr>
      <w:r>
        <w:rPr>
          <w:lang w:val="en-US"/>
        </w:rPr>
        <w:t>An execution venue may be a regulated market (the Belgrade Stock Exchange), a Multilateral Trading Facility (MTF), an Organized Trading Facility (OTF), a Systematic Internanalizer, or other similar institutions. Where the same financial instrument is traded on two or more organized markets, the Bank shall take into account the factors affecting the choice of execution venue, including achieving the best possible outcome for the Client, price, costs, speed, and likelihood of execution, unless the Client provides explicit instructions regarding the execution venue.</w:t>
      </w:r>
    </w:p>
    <w:p w14:paraId="5A5E9378">
      <w:pPr>
        <w:pStyle w:val="6"/>
        <w:spacing w:before="93"/>
        <w:jc w:val="both"/>
        <w:rPr>
          <w:lang w:val="en-US"/>
        </w:rPr>
      </w:pPr>
      <w:r>
        <w:rPr>
          <w:lang w:val="en-US"/>
        </w:rPr>
        <w:t>If a client places an order for a financial instrument that is listed on only one market, the Bank shall execute the order on that market, considering this to be the best possible outcome for the client.</w:t>
      </w:r>
    </w:p>
    <w:p w14:paraId="794C48DE">
      <w:pPr>
        <w:pStyle w:val="6"/>
        <w:spacing w:before="93"/>
        <w:jc w:val="both"/>
        <w:rPr>
          <w:lang w:val="en-US"/>
        </w:rPr>
      </w:pPr>
      <w:r>
        <w:rPr>
          <w:lang w:val="en-US"/>
        </w:rPr>
        <w:t>The Bank may execute orders on the OTC market in accordance with applicable law if requested by the client or if such execution is considered to provide the best possible outcome for the client.</w:t>
      </w:r>
    </w:p>
    <w:p w14:paraId="6221A6A2">
      <w:pPr>
        <w:pStyle w:val="6"/>
        <w:spacing w:before="93"/>
        <w:rPr>
          <w:b/>
          <w:bCs/>
          <w:lang w:val="en-US"/>
        </w:rPr>
      </w:pPr>
    </w:p>
    <w:p w14:paraId="75B7022F">
      <w:pPr>
        <w:pStyle w:val="6"/>
        <w:spacing w:before="93"/>
        <w:rPr>
          <w:b/>
          <w:bCs/>
          <w:lang w:val="en-US"/>
        </w:rPr>
      </w:pPr>
    </w:p>
    <w:p w14:paraId="7E946A86">
      <w:pPr>
        <w:pStyle w:val="6"/>
        <w:spacing w:before="93"/>
        <w:rPr>
          <w:b/>
          <w:bCs/>
          <w:lang w:val="en-US"/>
        </w:rPr>
      </w:pPr>
      <w:r>
        <w:rPr>
          <w:b/>
          <w:bCs/>
          <w:lang w:val="en-US"/>
        </w:rPr>
        <w:t>Execution of Orders Through Partners</w:t>
      </w:r>
    </w:p>
    <w:p w14:paraId="1EC79CE1">
      <w:pPr>
        <w:pStyle w:val="6"/>
        <w:spacing w:before="93"/>
        <w:jc w:val="both"/>
        <w:rPr>
          <w:lang w:val="en-US"/>
        </w:rPr>
      </w:pPr>
      <w:r>
        <w:rPr>
          <w:lang w:val="en-US"/>
        </w:rPr>
        <w:t>For financial instruments listed on markets of which the Bank is not a member, the Bank may transmit orders to third parties—partners with whom it has entered into cooperation agreements. In such cases, the execution of orders shall be carried out in accordance with the order execution policies and procedures of those partners.</w:t>
      </w:r>
    </w:p>
    <w:p w14:paraId="7DD2D3FC">
      <w:pPr>
        <w:pStyle w:val="6"/>
        <w:spacing w:before="93"/>
        <w:rPr>
          <w:b/>
          <w:bCs/>
          <w:lang w:val="en-US"/>
        </w:rPr>
      </w:pPr>
    </w:p>
    <w:p w14:paraId="6ADA2380">
      <w:pPr>
        <w:pStyle w:val="6"/>
        <w:spacing w:before="93"/>
        <w:rPr>
          <w:b/>
          <w:bCs/>
          <w:lang w:val="en-US"/>
        </w:rPr>
      </w:pPr>
      <w:r>
        <w:rPr>
          <w:b/>
          <w:bCs/>
          <w:lang w:val="en-US"/>
        </w:rPr>
        <w:t>Execution of Orders on Foreign Markets</w:t>
      </w:r>
    </w:p>
    <w:p w14:paraId="4D90D571">
      <w:pPr>
        <w:pStyle w:val="6"/>
        <w:spacing w:before="93"/>
        <w:rPr>
          <w:lang w:val="en-US"/>
        </w:rPr>
      </w:pPr>
      <w:r>
        <w:rPr>
          <w:lang w:val="en-US"/>
        </w:rPr>
        <w:t>The Bank may forward client orders to another investment firm for execution on foreign markets. The Bank exercises due care in selecting foreign partners, taking into account their licenses, the markets to which they have access, the speed of order execution, and other relevant factors.</w:t>
      </w:r>
    </w:p>
    <w:p w14:paraId="0C486228">
      <w:pPr>
        <w:pStyle w:val="6"/>
        <w:spacing w:before="93"/>
        <w:rPr>
          <w:lang w:val="en-US"/>
        </w:rPr>
      </w:pPr>
    </w:p>
    <w:p w14:paraId="6508A807">
      <w:pPr>
        <w:pStyle w:val="6"/>
        <w:spacing w:before="92"/>
        <w:rPr>
          <w:b/>
          <w:bCs/>
          <w:lang w:val="en-US"/>
        </w:rPr>
      </w:pPr>
      <w:r>
        <w:rPr>
          <w:b/>
          <w:bCs/>
          <w:lang w:val="en-US"/>
        </w:rPr>
        <w:t>CLIENT REPORTING</w:t>
      </w:r>
    </w:p>
    <w:p w14:paraId="4CBD613A">
      <w:pPr>
        <w:pStyle w:val="6"/>
        <w:spacing w:before="92"/>
        <w:rPr>
          <w:b/>
          <w:bCs/>
          <w:lang w:val="en-US"/>
        </w:rPr>
      </w:pPr>
    </w:p>
    <w:p w14:paraId="1823016B">
      <w:pPr>
        <w:pStyle w:val="6"/>
        <w:spacing w:before="92"/>
        <w:jc w:val="both"/>
        <w:rPr>
          <w:lang w:val="en-US"/>
        </w:rPr>
      </w:pPr>
      <w:r>
        <w:rPr>
          <w:lang w:val="en-US"/>
        </w:rPr>
        <w:t>Following the execution of an order, the Bank shall act as follows:</w:t>
      </w:r>
    </w:p>
    <w:p w14:paraId="11FA166E">
      <w:pPr>
        <w:pStyle w:val="6"/>
        <w:spacing w:before="92"/>
        <w:ind w:firstLine="720"/>
        <w:jc w:val="both"/>
        <w:rPr>
          <w:lang w:val="en-US"/>
        </w:rPr>
      </w:pPr>
      <w:r>
        <w:rPr>
          <w:lang w:val="en-US"/>
        </w:rPr>
        <w:t>• It shall provide the client, without undue delay, with essential information regarding the execution of the order.</w:t>
      </w:r>
    </w:p>
    <w:p w14:paraId="423B220C">
      <w:pPr>
        <w:pStyle w:val="6"/>
        <w:spacing w:before="92"/>
        <w:ind w:left="720"/>
        <w:jc w:val="both"/>
        <w:rPr>
          <w:lang w:val="en-US"/>
        </w:rPr>
      </w:pPr>
      <w:r>
        <w:rPr>
          <w:lang w:val="en-US"/>
        </w:rPr>
        <w:t>• No later than the first business day following execution of the order, or upon receipt of confirmation from a third party, the Bank shall provide the client with a notice of execution.</w:t>
      </w:r>
    </w:p>
    <w:p w14:paraId="34293CFC">
      <w:pPr>
        <w:pStyle w:val="6"/>
        <w:spacing w:before="92"/>
        <w:jc w:val="both"/>
        <w:rPr>
          <w:lang w:val="en-US"/>
        </w:rPr>
      </w:pPr>
    </w:p>
    <w:p w14:paraId="71960704">
      <w:pPr>
        <w:pStyle w:val="6"/>
        <w:spacing w:before="92"/>
        <w:jc w:val="both"/>
        <w:rPr>
          <w:lang w:val="en-US"/>
        </w:rPr>
      </w:pPr>
      <w:r>
        <w:rPr>
          <w:lang w:val="en-US"/>
        </w:rPr>
        <w:t>Clients using the Alta Trader platform may electronically access and download notifications regarding the status of their orders. The Bank also provides clients with periodic portfolio management reports in accordance with applicable regulations. These reports include all material information relating to the client's portfolio, including valuation, transactions, performance, and fees.</w:t>
      </w:r>
    </w:p>
    <w:p w14:paraId="25233E8F">
      <w:pPr>
        <w:pStyle w:val="6"/>
        <w:spacing w:before="92"/>
        <w:jc w:val="both"/>
        <w:rPr>
          <w:lang w:val="en-US"/>
        </w:rPr>
      </w:pPr>
    </w:p>
    <w:p w14:paraId="23980A6F">
      <w:pPr>
        <w:pStyle w:val="6"/>
        <w:spacing w:before="92"/>
        <w:jc w:val="both"/>
        <w:rPr>
          <w:b/>
          <w:bCs/>
          <w:lang w:val="en-US"/>
        </w:rPr>
      </w:pPr>
      <w:r>
        <w:rPr>
          <w:b/>
          <w:bCs/>
          <w:lang w:val="en-US"/>
        </w:rPr>
        <w:t>Confirmation of Order Execution</w:t>
      </w:r>
    </w:p>
    <w:p w14:paraId="7975B443">
      <w:pPr>
        <w:pStyle w:val="6"/>
        <w:spacing w:before="92"/>
        <w:jc w:val="both"/>
        <w:rPr>
          <w:lang w:val="en-US"/>
        </w:rPr>
      </w:pPr>
    </w:p>
    <w:p w14:paraId="1AD5000B">
      <w:pPr>
        <w:pStyle w:val="6"/>
        <w:spacing w:before="92"/>
        <w:jc w:val="both"/>
        <w:rPr>
          <w:lang w:val="en-US"/>
        </w:rPr>
      </w:pPr>
      <w:r>
        <w:rPr>
          <w:lang w:val="en-US"/>
        </w:rPr>
        <w:t>The Bank is required to provide the client, on a durable medium and without delay, and no later than the business day following receipt of the order, with a notification indicating the time and place of receipt of the order, as well as the acceptance or rejection of its execution.</w:t>
      </w:r>
    </w:p>
    <w:p w14:paraId="786F76EA">
      <w:pPr>
        <w:pStyle w:val="6"/>
        <w:spacing w:before="92"/>
        <w:jc w:val="both"/>
        <w:rPr>
          <w:lang w:val="en-US"/>
        </w:rPr>
      </w:pPr>
      <w:r>
        <w:rPr>
          <w:lang w:val="en-US"/>
        </w:rPr>
        <w:t>The confirmation shall contain all relevant details of the transaction, including the price, quantity, commissions, and any other applicable charges and costs.</w:t>
      </w:r>
    </w:p>
    <w:p w14:paraId="651A5490">
      <w:pPr>
        <w:pStyle w:val="6"/>
        <w:spacing w:before="92"/>
        <w:jc w:val="both"/>
        <w:rPr>
          <w:lang w:val="en-US"/>
        </w:rPr>
      </w:pPr>
    </w:p>
    <w:p w14:paraId="591D571D">
      <w:pPr>
        <w:pStyle w:val="6"/>
        <w:spacing w:before="109"/>
        <w:rPr>
          <w:b/>
          <w:bCs/>
          <w:lang w:val="en-US"/>
        </w:rPr>
      </w:pPr>
      <w:r>
        <w:rPr>
          <w:b/>
          <w:bCs/>
          <w:lang w:val="en-US"/>
        </w:rPr>
        <w:t>COMMISSIONS AND OTHER FEES</w:t>
      </w:r>
    </w:p>
    <w:p w14:paraId="55A3E833">
      <w:pPr>
        <w:pStyle w:val="6"/>
        <w:spacing w:before="109"/>
        <w:rPr>
          <w:lang w:val="en-US"/>
        </w:rPr>
      </w:pPr>
      <w:r>
        <w:rPr>
          <w:lang w:val="en-US"/>
        </w:rPr>
        <w:t>The Bank's Schedule of Fees determines the maximum amounts of fees and commissions payable by clients for the services provided.</w:t>
      </w:r>
    </w:p>
    <w:p w14:paraId="5328C21B">
      <w:pPr>
        <w:pStyle w:val="6"/>
        <w:spacing w:before="109"/>
        <w:jc w:val="both"/>
        <w:rPr>
          <w:lang w:val="en-US"/>
        </w:rPr>
      </w:pPr>
      <w:r>
        <w:rPr>
          <w:lang w:val="en-US"/>
        </w:rPr>
        <w:t>When executing purchase or sale transactions in financial instruments on behalf of a client, the amount of the commission is specified in the purchase or sale order in accordance with the Schedule of Fees. The Bank publishes the Schedule of Fees on its website, www.altabanka.rs, and clients shall be deemed to have accepted the terms of the Schedule of Fees upon the expiration of a period of eight days from its publication.</w:t>
      </w:r>
    </w:p>
    <w:p w14:paraId="6CD34F74">
      <w:pPr>
        <w:pStyle w:val="6"/>
        <w:spacing w:before="109"/>
        <w:rPr>
          <w:lang w:val="en-US"/>
        </w:rPr>
      </w:pPr>
    </w:p>
    <w:p w14:paraId="5DAB6710">
      <w:pPr>
        <w:pStyle w:val="6"/>
        <w:spacing w:before="109"/>
        <w:rPr>
          <w:b/>
          <w:bCs/>
          <w:lang w:val="en-US"/>
        </w:rPr>
      </w:pPr>
      <w:r>
        <w:rPr>
          <w:b/>
          <w:bCs/>
          <w:lang w:val="en-US"/>
        </w:rPr>
        <w:t>RIGHT TO COMPLAINTS AND OTHER CLIENT COMMUNICATIONS</w:t>
      </w:r>
    </w:p>
    <w:p w14:paraId="6EB3E580">
      <w:pPr>
        <w:pStyle w:val="6"/>
        <w:spacing w:before="109"/>
        <w:jc w:val="both"/>
        <w:rPr>
          <w:lang w:val="en-US"/>
        </w:rPr>
      </w:pPr>
      <w:r>
        <w:rPr>
          <w:lang w:val="en-US"/>
        </w:rPr>
        <w:t xml:space="preserve">The handling of client complaints is carried out in accordance with the Bank's internal policies and procedures. These </w:t>
      </w:r>
    </w:p>
    <w:p w14:paraId="53B725A8">
      <w:pPr>
        <w:pStyle w:val="6"/>
        <w:spacing w:before="109"/>
        <w:jc w:val="both"/>
        <w:rPr>
          <w:lang w:val="en-US"/>
        </w:rPr>
      </w:pPr>
    </w:p>
    <w:p w14:paraId="139DC82D">
      <w:pPr>
        <w:pStyle w:val="6"/>
        <w:spacing w:before="109"/>
        <w:jc w:val="both"/>
        <w:rPr>
          <w:lang w:val="en-US"/>
        </w:rPr>
      </w:pPr>
      <w:r>
        <w:rPr>
          <w:lang w:val="en-US"/>
        </w:rPr>
        <w:t>documents are available at the Bank's premises and on the Bank's website, www.altabanka.rs.</w:t>
      </w:r>
    </w:p>
    <w:p w14:paraId="5C3C3605">
      <w:pPr>
        <w:pStyle w:val="6"/>
        <w:spacing w:before="109"/>
        <w:rPr>
          <w:b/>
          <w:bCs/>
          <w:lang w:val="en-US"/>
        </w:rPr>
      </w:pPr>
    </w:p>
    <w:p w14:paraId="27152763">
      <w:pPr>
        <w:pStyle w:val="6"/>
        <w:spacing w:before="109"/>
        <w:rPr>
          <w:b/>
          <w:bCs/>
          <w:lang w:val="en-US"/>
        </w:rPr>
      </w:pPr>
      <w:r>
        <w:rPr>
          <w:b/>
          <w:bCs/>
          <w:lang w:val="en-US"/>
        </w:rPr>
        <w:t>ENTRY INTO FORCE</w:t>
      </w:r>
    </w:p>
    <w:p w14:paraId="7194CDEA">
      <w:pPr>
        <w:pStyle w:val="6"/>
        <w:spacing w:before="109"/>
        <w:jc w:val="both"/>
        <w:rPr>
          <w:lang w:val="en-US"/>
        </w:rPr>
      </w:pPr>
      <w:r>
        <w:rPr>
          <w:lang w:val="en-US"/>
        </w:rPr>
        <w:t>The Information Document shall be posted on the Bank's website on the first business day following receipt of the decision of the Securities Commission granting approval to this document.</w:t>
      </w:r>
    </w:p>
    <w:p w14:paraId="74AC78C0">
      <w:pPr>
        <w:pStyle w:val="6"/>
        <w:spacing w:before="109"/>
        <w:rPr>
          <w:lang w:val="en-US"/>
        </w:rPr>
      </w:pPr>
      <w:r>
        <w:rPr>
          <w:lang w:val="en-US"/>
        </w:rPr>
        <w:t>The Rules of Business Conduct shall enter into force seven days after their posting on the Bank's website.</w:t>
      </w:r>
    </w:p>
    <w:p w14:paraId="4D273E60">
      <w:pPr>
        <w:pStyle w:val="6"/>
        <w:spacing w:before="109"/>
        <w:rPr>
          <w:lang w:val="en-US"/>
        </w:rPr>
      </w:pPr>
    </w:p>
    <w:p w14:paraId="70A94461">
      <w:pPr>
        <w:pStyle w:val="6"/>
        <w:spacing w:before="109"/>
        <w:rPr>
          <w:lang w:val="en-US"/>
        </w:rPr>
      </w:pPr>
    </w:p>
    <w:tbl>
      <w:tblPr>
        <w:tblStyle w:val="10"/>
        <w:tblW w:w="0" w:type="auto"/>
        <w:tblInd w:w="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787"/>
      </w:tblGrid>
      <w:tr w14:paraId="404C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33F264B9">
            <w:pPr>
              <w:pStyle w:val="15"/>
              <w:spacing w:before="0" w:beforeAutospacing="0" w:after="0" w:afterAutospacing="0"/>
              <w:jc w:val="center"/>
              <w:rPr>
                <w:rFonts w:ascii="Arial Narrow" w:hAnsi="Arial Narrow"/>
                <w:sz w:val="22"/>
                <w:szCs w:val="22"/>
              </w:rPr>
            </w:pPr>
            <w:r>
              <w:rPr>
                <w:rFonts w:ascii="Arial Narrow" w:hAnsi="Arial Narrow"/>
                <w:sz w:val="22"/>
                <w:szCs w:val="22"/>
              </w:rPr>
              <w:t>THE EXECUTIVE BOARD</w:t>
            </w:r>
          </w:p>
          <w:p w14:paraId="750ED2D0">
            <w:pPr>
              <w:pStyle w:val="15"/>
              <w:spacing w:before="0" w:beforeAutospacing="0" w:after="0" w:afterAutospacing="0"/>
              <w:jc w:val="center"/>
              <w:rPr>
                <w:rFonts w:ascii="Arial Narrow" w:hAnsi="Arial Narrow"/>
                <w:sz w:val="22"/>
                <w:szCs w:val="22"/>
              </w:rPr>
            </w:pPr>
            <w:r>
              <w:rPr>
                <w:rFonts w:ascii="Arial Narrow" w:hAnsi="Arial Narrow"/>
                <w:sz w:val="22"/>
                <w:szCs w:val="22"/>
              </w:rPr>
              <w:t>MEMBER</w:t>
            </w:r>
          </w:p>
          <w:p w14:paraId="54BA6BF3">
            <w:pPr>
              <w:pStyle w:val="15"/>
              <w:spacing w:before="0" w:beforeAutospacing="0" w:after="0" w:afterAutospacing="0"/>
              <w:jc w:val="center"/>
              <w:rPr>
                <w:rFonts w:ascii="Arial Narrow" w:hAnsi="Arial Narrow"/>
                <w:sz w:val="22"/>
                <w:szCs w:val="22"/>
              </w:rPr>
            </w:pPr>
          </w:p>
          <w:p w14:paraId="0ECC22D2">
            <w:pPr>
              <w:pStyle w:val="15"/>
              <w:spacing w:before="0" w:beforeAutospacing="0" w:after="0" w:afterAutospacing="0"/>
              <w:jc w:val="center"/>
              <w:rPr>
                <w:rFonts w:ascii="Arial Narrow" w:hAnsi="Arial Narrow"/>
                <w:sz w:val="22"/>
                <w:szCs w:val="22"/>
              </w:rPr>
            </w:pPr>
            <w:r>
              <w:rPr>
                <w:rFonts w:ascii="Arial Narrow" w:hAnsi="Arial Narrow"/>
                <w:sz w:val="22"/>
                <w:szCs w:val="22"/>
              </w:rPr>
              <w:t>-----------------------------</w:t>
            </w:r>
          </w:p>
          <w:p w14:paraId="48608816">
            <w:pPr>
              <w:pStyle w:val="15"/>
              <w:spacing w:before="0" w:beforeAutospacing="0" w:after="0" w:afterAutospacing="0"/>
              <w:jc w:val="center"/>
              <w:rPr>
                <w:rFonts w:ascii="Arial Narrow" w:hAnsi="Arial Narrow"/>
                <w:sz w:val="22"/>
                <w:szCs w:val="22"/>
              </w:rPr>
            </w:pPr>
            <w:r>
              <w:rPr>
                <w:rFonts w:ascii="Arial Narrow" w:hAnsi="Arial Narrow"/>
                <w:sz w:val="22"/>
                <w:szCs w:val="22"/>
              </w:rPr>
              <w:t>Tatjana Kuljak</w:t>
            </w:r>
          </w:p>
          <w:p w14:paraId="3A519DDE">
            <w:pPr>
              <w:pStyle w:val="15"/>
              <w:spacing w:before="0" w:beforeAutospacing="0" w:after="0" w:afterAutospacing="0"/>
              <w:jc w:val="center"/>
              <w:rPr>
                <w:rFonts w:ascii="Arial Narrow" w:hAnsi="Arial Narrow"/>
                <w:sz w:val="22"/>
                <w:szCs w:val="22"/>
              </w:rPr>
            </w:pPr>
          </w:p>
        </w:tc>
        <w:tc>
          <w:tcPr>
            <w:tcW w:w="4787" w:type="dxa"/>
          </w:tcPr>
          <w:p w14:paraId="68221A5F">
            <w:pPr>
              <w:pStyle w:val="15"/>
              <w:spacing w:before="0" w:beforeAutospacing="0" w:after="0" w:afterAutospacing="0"/>
              <w:jc w:val="center"/>
              <w:rPr>
                <w:rFonts w:ascii="Arial Narrow" w:hAnsi="Arial Narrow"/>
                <w:sz w:val="22"/>
                <w:szCs w:val="22"/>
              </w:rPr>
            </w:pPr>
            <w:r>
              <w:rPr>
                <w:rFonts w:ascii="Arial Narrow" w:hAnsi="Arial Narrow"/>
                <w:sz w:val="22"/>
                <w:szCs w:val="22"/>
              </w:rPr>
              <w:t>THE EXECUTIVE BOARD</w:t>
            </w:r>
          </w:p>
          <w:p w14:paraId="7F5AAEB6">
            <w:pPr>
              <w:pStyle w:val="15"/>
              <w:spacing w:before="0" w:beforeAutospacing="0" w:after="0" w:afterAutospacing="0"/>
              <w:jc w:val="center"/>
              <w:rPr>
                <w:rFonts w:ascii="Arial Narrow" w:hAnsi="Arial Narrow"/>
                <w:sz w:val="22"/>
                <w:szCs w:val="22"/>
              </w:rPr>
            </w:pPr>
            <w:r>
              <w:rPr>
                <w:rFonts w:ascii="Arial Narrow" w:hAnsi="Arial Narrow"/>
                <w:sz w:val="22"/>
                <w:szCs w:val="22"/>
              </w:rPr>
              <w:t>PRESIDENT</w:t>
            </w:r>
          </w:p>
          <w:p w14:paraId="54ED7427">
            <w:pPr>
              <w:pStyle w:val="15"/>
              <w:spacing w:before="0" w:beforeAutospacing="0" w:after="0" w:afterAutospacing="0"/>
              <w:jc w:val="center"/>
              <w:rPr>
                <w:rFonts w:ascii="Arial Narrow" w:hAnsi="Arial Narrow"/>
                <w:sz w:val="22"/>
                <w:szCs w:val="22"/>
              </w:rPr>
            </w:pPr>
            <w:r>
              <w:rPr>
                <w:rFonts w:ascii="Arial Narrow" w:hAnsi="Arial Narrow"/>
                <w:sz w:val="22"/>
                <w:szCs w:val="22"/>
              </w:rPr>
              <w:t>-----------------------------</w:t>
            </w:r>
          </w:p>
          <w:p w14:paraId="348DD5B5">
            <w:pPr>
              <w:pStyle w:val="15"/>
              <w:spacing w:before="0" w:beforeAutospacing="0" w:after="0" w:afterAutospacing="0"/>
              <w:jc w:val="center"/>
              <w:rPr>
                <w:rFonts w:ascii="Arial Narrow" w:hAnsi="Arial Narrow"/>
                <w:sz w:val="22"/>
                <w:szCs w:val="22"/>
              </w:rPr>
            </w:pPr>
            <w:r>
              <w:rPr>
                <w:rFonts w:ascii="Arial Narrow" w:hAnsi="Arial Narrow"/>
                <w:sz w:val="22"/>
                <w:szCs w:val="22"/>
              </w:rPr>
              <w:t>Dr. Una Sikimic</w:t>
            </w:r>
          </w:p>
        </w:tc>
      </w:tr>
    </w:tbl>
    <w:p w14:paraId="4C9566E2">
      <w:pPr>
        <w:spacing w:line="252" w:lineRule="auto"/>
        <w:ind w:left="720" w:firstLine="720"/>
        <w:jc w:val="both"/>
        <w:rPr>
          <w:lang w:val="en-US"/>
        </w:rPr>
      </w:pPr>
      <w:r>
        <w:rPr>
          <w:lang w:val="en-US"/>
        </w:rPr>
        <w:t xml:space="preserve">              </w:t>
      </w:r>
    </w:p>
    <w:p w14:paraId="1A98B8D5">
      <w:pPr>
        <w:pStyle w:val="15"/>
        <w:spacing w:before="0" w:beforeAutospacing="0" w:after="0" w:afterAutospacing="0"/>
        <w:rPr>
          <w:rFonts w:ascii="Arial Narrow" w:hAnsi="Arial Narrow"/>
          <w:b/>
          <w:bCs/>
          <w:sz w:val="22"/>
          <w:szCs w:val="22"/>
        </w:rPr>
      </w:pPr>
      <w:bookmarkStart w:id="0" w:name="_bookmark39"/>
      <w:bookmarkEnd w:id="0"/>
    </w:p>
    <w:p w14:paraId="6FF776DA">
      <w:pPr>
        <w:pStyle w:val="15"/>
        <w:spacing w:before="0" w:beforeAutospacing="0" w:after="0" w:afterAutospacing="0"/>
        <w:rPr>
          <w:rFonts w:ascii="Arial Narrow" w:hAnsi="Arial Narrow"/>
          <w:sz w:val="22"/>
          <w:szCs w:val="22"/>
        </w:rPr>
      </w:pPr>
    </w:p>
    <w:p w14:paraId="0397813C">
      <w:pPr>
        <w:pStyle w:val="15"/>
        <w:spacing w:before="0" w:beforeAutospacing="0" w:after="0" w:afterAutospacing="0"/>
        <w:rPr>
          <w:rFonts w:ascii="Arial Narrow" w:hAnsi="Arial Narrow"/>
          <w:sz w:val="22"/>
          <w:szCs w:val="22"/>
        </w:rPr>
      </w:pPr>
    </w:p>
    <w:p w14:paraId="315E3782">
      <w:pPr>
        <w:pStyle w:val="6"/>
        <w:spacing w:before="109"/>
        <w:rPr>
          <w:lang w:val="en-US"/>
        </w:rPr>
      </w:pPr>
    </w:p>
    <w:sectPr>
      <w:headerReference r:id="rId4" w:type="default"/>
      <w:footerReference r:id="rId5" w:type="default"/>
      <w:pgSz w:w="12240" w:h="15840"/>
      <w:pgMar w:top="1660" w:right="1080" w:bottom="1220" w:left="1440" w:header="720" w:footer="103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DE695">
    <w:pPr>
      <w:pStyle w:val="6"/>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3810000</wp:posOffset>
              </wp:positionH>
              <wp:positionV relativeFrom="page">
                <wp:posOffset>9258300</wp:posOffset>
              </wp:positionV>
              <wp:extent cx="153670" cy="186690"/>
              <wp:effectExtent l="0" t="0" r="0" b="0"/>
              <wp:wrapNone/>
              <wp:docPr id="6" name="Textbox 6"/>
              <wp:cNvGraphicFramePr/>
              <a:graphic xmlns:a="http://schemas.openxmlformats.org/drawingml/2006/main">
                <a:graphicData uri="http://schemas.microsoft.com/office/word/2010/wordprocessingShape">
                  <wps:wsp>
                    <wps:cNvSpPr txBox="1"/>
                    <wps:spPr>
                      <a:xfrm>
                        <a:off x="0" y="0"/>
                        <a:ext cx="153670" cy="186690"/>
                      </a:xfrm>
                      <a:prstGeom prst="rect">
                        <a:avLst/>
                      </a:prstGeom>
                    </wps:spPr>
                    <wps:txbx>
                      <w:txbxContent>
                        <w:p w14:paraId="6638054B">
                          <w:pPr>
                            <w:pStyle w:val="6"/>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id="Textbox 6" o:spid="_x0000_s1026" o:spt="202" type="#_x0000_t202" style="position:absolute;left:0pt;margin-left:300pt;margin-top:729pt;height:14.7pt;width:12.1pt;mso-position-horizontal-relative:page;mso-position-vertical-relative:page;z-index:-251654144;mso-width-relative:page;mso-height-relative:page;" filled="f" stroked="f" coordsize="21600,21600" o:gfxdata="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PfMazbAAAADQEAAA8AAAAAAAAAAQAgAAAAIgAAAGRycy9kb3ducmV2LnhtbFBLAQIUABQAAAAI&#10;AIdO4kAxtz1FsQEAAHMDAAAOAAAAAAAAAAEAIAAAACoBAABkcnMvZTJvRG9jLnhtbFBLBQYAAAAA&#10;BgAGAFkBAABNBQAAAAA=&#10;">
              <v:fill on="f" focussize="0,0"/>
              <v:stroke on="f"/>
              <v:imagedata o:title=""/>
              <o:lock v:ext="edit" aspectratio="f"/>
              <v:textbox inset="0mm,0mm,0mm,0mm">
                <w:txbxContent>
                  <w:p w14:paraId="6638054B">
                    <w:pPr>
                      <w:pStyle w:val="6"/>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FBD10">
    <w:pPr>
      <w:pStyle w:val="6"/>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6203315</wp:posOffset>
              </wp:positionH>
              <wp:positionV relativeFrom="page">
                <wp:posOffset>953770</wp:posOffset>
              </wp:positionV>
              <wp:extent cx="492125" cy="170815"/>
              <wp:effectExtent l="0" t="0" r="0" b="0"/>
              <wp:wrapNone/>
              <wp:docPr id="1" name="Textbox 1"/>
              <wp:cNvGraphicFramePr/>
              <a:graphic xmlns:a="http://schemas.openxmlformats.org/drawingml/2006/main">
                <a:graphicData uri="http://schemas.microsoft.com/office/word/2010/wordprocessingShape">
                  <wps:wsp>
                    <wps:cNvSpPr txBox="1"/>
                    <wps:spPr>
                      <a:xfrm>
                        <a:off x="0" y="0"/>
                        <a:ext cx="492125" cy="170815"/>
                      </a:xfrm>
                      <a:prstGeom prst="rect">
                        <a:avLst/>
                      </a:prstGeom>
                    </wps:spPr>
                    <wps:txbx>
                      <w:txbxContent>
                        <w:p w14:paraId="282E0D44">
                          <w:pPr>
                            <w:spacing w:before="19"/>
                            <w:ind w:left="20"/>
                            <w:rPr>
                              <w:sz w:val="20"/>
                            </w:rPr>
                          </w:pPr>
                          <w:r>
                            <w:rPr>
                              <w:spacing w:val="-2"/>
                              <w:sz w:val="20"/>
                            </w:rPr>
                            <w:t>INTERNO</w:t>
                          </w:r>
                        </w:p>
                      </w:txbxContent>
                    </wps:txbx>
                    <wps:bodyPr wrap="square" lIns="0" tIns="0" rIns="0" bIns="0" rtlCol="0">
                      <a:noAutofit/>
                    </wps:bodyPr>
                  </wps:wsp>
                </a:graphicData>
              </a:graphic>
            </wp:anchor>
          </w:drawing>
        </mc:Choice>
        <mc:Fallback>
          <w:pict>
            <v:shape id="Textbox 1" o:spid="_x0000_s1026" o:spt="202" type="#_x0000_t202" style="position:absolute;left:0pt;margin-left:488.45pt;margin-top:75.1pt;height:13.45pt;width:38.75pt;mso-position-horizontal-relative:page;mso-position-vertical-relative:page;z-index:-251656192;mso-width-relative:page;mso-height-relative:page;" filled="f" stroked="f" coordsize="21600,21600" o:gfxdata="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W7kF9oAAAAMAQAADwAAAAAAAAABACAAAAAiAAAAZHJzL2Rvd25yZXYueG1sUEsBAhQAFAAAAAgA&#10;h07iQGD67qexAQAAcwMAAA4AAAAAAAAAAQAgAAAAKQEAAGRycy9lMm9Eb2MueG1sUEsFBgAAAAAG&#10;AAYAWQEAAEwFAAAAAA==&#10;">
              <v:fill on="f" focussize="0,0"/>
              <v:stroke on="f"/>
              <v:imagedata o:title=""/>
              <o:lock v:ext="edit" aspectratio="f"/>
              <v:textbox inset="0mm,0mm,0mm,0mm">
                <w:txbxContent>
                  <w:p w14:paraId="282E0D44">
                    <w:pPr>
                      <w:spacing w:before="19"/>
                      <w:ind w:left="20"/>
                      <w:rPr>
                        <w:sz w:val="20"/>
                      </w:rPr>
                    </w:pPr>
                    <w:r>
                      <w:rPr>
                        <w:spacing w:val="-2"/>
                        <w:sz w:val="20"/>
                      </w:rPr>
                      <w:t>INTERNO</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E7136">
    <w:pPr>
      <w:pStyle w:val="6"/>
      <w:spacing w:line="14" w:lineRule="auto"/>
      <w:rPr>
        <w:sz w:val="20"/>
      </w:rPr>
    </w:pPr>
    <w:r>
      <w:rPr>
        <w:sz w:val="20"/>
      </w:rPr>
      <w:drawing>
        <wp:anchor distT="0" distB="0" distL="0" distR="0" simplePos="0" relativeHeight="251660288" behindDoc="1" locked="0" layoutInCell="1" allowOverlap="1">
          <wp:simplePos x="0" y="0"/>
          <wp:positionH relativeFrom="page">
            <wp:posOffset>914400</wp:posOffset>
          </wp:positionH>
          <wp:positionV relativeFrom="page">
            <wp:posOffset>457200</wp:posOffset>
          </wp:positionV>
          <wp:extent cx="1649730" cy="476250"/>
          <wp:effectExtent l="0" t="0" r="0" b="0"/>
          <wp:wrapNone/>
          <wp:docPr id="687605255" name="Image 3"/>
          <wp:cNvGraphicFramePr/>
          <a:graphic xmlns:a="http://schemas.openxmlformats.org/drawingml/2006/main">
            <a:graphicData uri="http://schemas.openxmlformats.org/drawingml/2006/picture">
              <pic:pic xmlns:pic="http://schemas.openxmlformats.org/drawingml/2006/picture">
                <pic:nvPicPr>
                  <pic:cNvPr id="687605255" name="Image 3"/>
                  <pic:cNvPicPr/>
                </pic:nvPicPr>
                <pic:blipFill>
                  <a:blip r:embed="rId1" cstate="print"/>
                  <a:stretch>
                    <a:fillRect/>
                  </a:stretch>
                </pic:blipFill>
                <pic:spPr>
                  <a:xfrm>
                    <a:off x="0" y="0"/>
                    <a:ext cx="1649730" cy="476097"/>
                  </a:xfrm>
                  <a:prstGeom prst="rect">
                    <a:avLst/>
                  </a:prstGeom>
                </pic:spPr>
              </pic:pic>
            </a:graphicData>
          </a:graphic>
        </wp:anchor>
      </w:drawing>
    </w:r>
    <w:r>
      <w:rPr>
        <w:sz w:val="20"/>
      </w:rPr>
      <mc:AlternateContent>
        <mc:Choice Requires="wps">
          <w:drawing>
            <wp:anchor distT="0" distB="0" distL="0" distR="0" simplePos="0" relativeHeight="251661312" behindDoc="1" locked="0" layoutInCell="1" allowOverlap="1">
              <wp:simplePos x="0" y="0"/>
              <wp:positionH relativeFrom="page">
                <wp:posOffset>901700</wp:posOffset>
              </wp:positionH>
              <wp:positionV relativeFrom="page">
                <wp:posOffset>920750</wp:posOffset>
              </wp:positionV>
              <wp:extent cx="5089525" cy="156845"/>
              <wp:effectExtent l="0" t="0" r="0" b="0"/>
              <wp:wrapNone/>
              <wp:docPr id="4" name="Textbox 4"/>
              <wp:cNvGraphicFramePr/>
              <a:graphic xmlns:a="http://schemas.openxmlformats.org/drawingml/2006/main">
                <a:graphicData uri="http://schemas.microsoft.com/office/word/2010/wordprocessingShape">
                  <wps:wsp>
                    <wps:cNvSpPr txBox="1"/>
                    <wps:spPr>
                      <a:xfrm>
                        <a:off x="0" y="0"/>
                        <a:ext cx="5089525" cy="156845"/>
                      </a:xfrm>
                      <a:prstGeom prst="rect">
                        <a:avLst/>
                      </a:prstGeom>
                    </wps:spPr>
                    <wps:txbx>
                      <w:txbxContent>
                        <w:p w14:paraId="1BB50912">
                          <w:pPr>
                            <w:spacing w:before="19"/>
                            <w:ind w:left="20"/>
                            <w:rPr>
                              <w:i/>
                              <w:sz w:val="18"/>
                            </w:rPr>
                          </w:pPr>
                          <w:r>
                            <w:rPr>
                              <w:i/>
                              <w:sz w:val="18"/>
                            </w:rPr>
                            <w:t>Informacije</w:t>
                          </w:r>
                          <w:r>
                            <w:rPr>
                              <w:i/>
                              <w:spacing w:val="-4"/>
                              <w:sz w:val="18"/>
                            </w:rPr>
                            <w:t xml:space="preserve"> </w:t>
                          </w:r>
                          <w:r>
                            <w:rPr>
                              <w:i/>
                              <w:sz w:val="18"/>
                            </w:rPr>
                            <w:t>za</w:t>
                          </w:r>
                          <w:r>
                            <w:rPr>
                              <w:i/>
                              <w:spacing w:val="-3"/>
                              <w:sz w:val="18"/>
                            </w:rPr>
                            <w:t xml:space="preserve"> </w:t>
                          </w:r>
                          <w:r>
                            <w:rPr>
                              <w:i/>
                              <w:sz w:val="18"/>
                            </w:rPr>
                            <w:t>klijente</w:t>
                          </w:r>
                          <w:r>
                            <w:rPr>
                              <w:i/>
                              <w:spacing w:val="-3"/>
                              <w:sz w:val="18"/>
                            </w:rPr>
                            <w:t xml:space="preserve"> </w:t>
                          </w:r>
                          <w:r>
                            <w:rPr>
                              <w:i/>
                              <w:sz w:val="18"/>
                            </w:rPr>
                            <w:t>o</w:t>
                          </w:r>
                          <w:r>
                            <w:rPr>
                              <w:i/>
                              <w:spacing w:val="-3"/>
                              <w:sz w:val="18"/>
                            </w:rPr>
                            <w:t xml:space="preserve"> </w:t>
                          </w:r>
                          <w:r>
                            <w:rPr>
                              <w:i/>
                              <w:sz w:val="18"/>
                            </w:rPr>
                            <w:t>investicionim</w:t>
                          </w:r>
                          <w:r>
                            <w:rPr>
                              <w:i/>
                              <w:spacing w:val="-5"/>
                              <w:sz w:val="18"/>
                            </w:rPr>
                            <w:t xml:space="preserve"> </w:t>
                          </w:r>
                          <w:r>
                            <w:rPr>
                              <w:i/>
                              <w:sz w:val="18"/>
                            </w:rPr>
                            <w:t>i</w:t>
                          </w:r>
                          <w:r>
                            <w:rPr>
                              <w:i/>
                              <w:spacing w:val="-2"/>
                              <w:sz w:val="18"/>
                            </w:rPr>
                            <w:t xml:space="preserve"> </w:t>
                          </w:r>
                          <w:r>
                            <w:rPr>
                              <w:i/>
                              <w:sz w:val="18"/>
                            </w:rPr>
                            <w:t>dodatnim</w:t>
                          </w:r>
                          <w:r>
                            <w:rPr>
                              <w:i/>
                              <w:spacing w:val="-3"/>
                              <w:sz w:val="18"/>
                            </w:rPr>
                            <w:t xml:space="preserve"> </w:t>
                          </w:r>
                          <w:r>
                            <w:rPr>
                              <w:i/>
                              <w:sz w:val="18"/>
                            </w:rPr>
                            <w:t>uslugama</w:t>
                          </w:r>
                          <w:r>
                            <w:rPr>
                              <w:i/>
                              <w:spacing w:val="-3"/>
                              <w:sz w:val="18"/>
                            </w:rPr>
                            <w:t xml:space="preserve"> </w:t>
                          </w:r>
                          <w:r>
                            <w:rPr>
                              <w:i/>
                              <w:sz w:val="18"/>
                            </w:rPr>
                            <w:t>Odeljenja investicionog</w:t>
                          </w:r>
                          <w:r>
                            <w:rPr>
                              <w:i/>
                              <w:spacing w:val="-3"/>
                              <w:sz w:val="18"/>
                            </w:rPr>
                            <w:t xml:space="preserve"> </w:t>
                          </w:r>
                          <w:r>
                            <w:rPr>
                              <w:i/>
                              <w:sz w:val="18"/>
                            </w:rPr>
                            <w:t>bankarstva</w:t>
                          </w:r>
                          <w:r>
                            <w:rPr>
                              <w:i/>
                              <w:spacing w:val="37"/>
                              <w:sz w:val="18"/>
                            </w:rPr>
                            <w:t xml:space="preserve"> </w:t>
                          </w:r>
                          <w:r>
                            <w:rPr>
                              <w:i/>
                              <w:sz w:val="18"/>
                            </w:rPr>
                            <w:t>ALTA</w:t>
                          </w:r>
                          <w:r>
                            <w:rPr>
                              <w:i/>
                              <w:spacing w:val="-2"/>
                              <w:sz w:val="18"/>
                            </w:rPr>
                            <w:t xml:space="preserve"> </w:t>
                          </w:r>
                          <w:r>
                            <w:rPr>
                              <w:i/>
                              <w:sz w:val="18"/>
                            </w:rPr>
                            <w:t>banke</w:t>
                          </w:r>
                          <w:r>
                            <w:rPr>
                              <w:i/>
                              <w:spacing w:val="-3"/>
                              <w:sz w:val="18"/>
                            </w:rPr>
                            <w:t xml:space="preserve"> </w:t>
                          </w:r>
                          <w:r>
                            <w:rPr>
                              <w:i/>
                              <w:sz w:val="18"/>
                            </w:rPr>
                            <w:t>A.D.</w:t>
                          </w:r>
                          <w:r>
                            <w:rPr>
                              <w:i/>
                              <w:spacing w:val="-2"/>
                              <w:sz w:val="18"/>
                            </w:rPr>
                            <w:t xml:space="preserve"> Beograd</w:t>
                          </w:r>
                        </w:p>
                      </w:txbxContent>
                    </wps:txbx>
                    <wps:bodyPr wrap="square" lIns="0" tIns="0" rIns="0" bIns="0" rtlCol="0">
                      <a:noAutofit/>
                    </wps:bodyPr>
                  </wps:wsp>
                </a:graphicData>
              </a:graphic>
            </wp:anchor>
          </w:drawing>
        </mc:Choice>
        <mc:Fallback>
          <w:pict>
            <v:shape id="Textbox 4" o:spid="_x0000_s1026" o:spt="202" type="#_x0000_t202" style="position:absolute;left:0pt;margin-left:71pt;margin-top:72.5pt;height:12.35pt;width:400.75pt;mso-position-horizontal-relative:page;mso-position-vertical-relative:page;z-index:-251655168;mso-width-relative:page;mso-height-relative:page;" filled="f" stroked="f" coordsize="21600,21600" o:gfxdata="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0TUX9gAAAALAQAADwAAAAAAAAABACAAAAAiAAAAZHJzL2Rvd25yZXYueG1sUEsBAhQAFAAAAAgA&#10;h07iQBpYRYOzAQAAdAMAAA4AAAAAAAAAAQAgAAAAJwEAAGRycy9lMm9Eb2MueG1sUEsFBgAAAAAG&#10;AAYAWQEAAEwFAAAAAA==&#10;">
              <v:fill on="f" focussize="0,0"/>
              <v:stroke on="f"/>
              <v:imagedata o:title=""/>
              <o:lock v:ext="edit" aspectratio="f"/>
              <v:textbox inset="0mm,0mm,0mm,0mm">
                <w:txbxContent>
                  <w:p w14:paraId="1BB50912">
                    <w:pPr>
                      <w:spacing w:before="19"/>
                      <w:ind w:left="20"/>
                      <w:rPr>
                        <w:i/>
                        <w:sz w:val="18"/>
                      </w:rPr>
                    </w:pPr>
                    <w:r>
                      <w:rPr>
                        <w:i/>
                        <w:sz w:val="18"/>
                      </w:rPr>
                      <w:t>Informacije</w:t>
                    </w:r>
                    <w:r>
                      <w:rPr>
                        <w:i/>
                        <w:spacing w:val="-4"/>
                        <w:sz w:val="18"/>
                      </w:rPr>
                      <w:t xml:space="preserve"> </w:t>
                    </w:r>
                    <w:r>
                      <w:rPr>
                        <w:i/>
                        <w:sz w:val="18"/>
                      </w:rPr>
                      <w:t>za</w:t>
                    </w:r>
                    <w:r>
                      <w:rPr>
                        <w:i/>
                        <w:spacing w:val="-3"/>
                        <w:sz w:val="18"/>
                      </w:rPr>
                      <w:t xml:space="preserve"> </w:t>
                    </w:r>
                    <w:r>
                      <w:rPr>
                        <w:i/>
                        <w:sz w:val="18"/>
                      </w:rPr>
                      <w:t>klijente</w:t>
                    </w:r>
                    <w:r>
                      <w:rPr>
                        <w:i/>
                        <w:spacing w:val="-3"/>
                        <w:sz w:val="18"/>
                      </w:rPr>
                      <w:t xml:space="preserve"> </w:t>
                    </w:r>
                    <w:r>
                      <w:rPr>
                        <w:i/>
                        <w:sz w:val="18"/>
                      </w:rPr>
                      <w:t>o</w:t>
                    </w:r>
                    <w:r>
                      <w:rPr>
                        <w:i/>
                        <w:spacing w:val="-3"/>
                        <w:sz w:val="18"/>
                      </w:rPr>
                      <w:t xml:space="preserve"> </w:t>
                    </w:r>
                    <w:r>
                      <w:rPr>
                        <w:i/>
                        <w:sz w:val="18"/>
                      </w:rPr>
                      <w:t>investicionim</w:t>
                    </w:r>
                    <w:r>
                      <w:rPr>
                        <w:i/>
                        <w:spacing w:val="-5"/>
                        <w:sz w:val="18"/>
                      </w:rPr>
                      <w:t xml:space="preserve"> </w:t>
                    </w:r>
                    <w:r>
                      <w:rPr>
                        <w:i/>
                        <w:sz w:val="18"/>
                      </w:rPr>
                      <w:t>i</w:t>
                    </w:r>
                    <w:r>
                      <w:rPr>
                        <w:i/>
                        <w:spacing w:val="-2"/>
                        <w:sz w:val="18"/>
                      </w:rPr>
                      <w:t xml:space="preserve"> </w:t>
                    </w:r>
                    <w:r>
                      <w:rPr>
                        <w:i/>
                        <w:sz w:val="18"/>
                      </w:rPr>
                      <w:t>dodatnim</w:t>
                    </w:r>
                    <w:r>
                      <w:rPr>
                        <w:i/>
                        <w:spacing w:val="-3"/>
                        <w:sz w:val="18"/>
                      </w:rPr>
                      <w:t xml:space="preserve"> </w:t>
                    </w:r>
                    <w:r>
                      <w:rPr>
                        <w:i/>
                        <w:sz w:val="18"/>
                      </w:rPr>
                      <w:t>uslugama</w:t>
                    </w:r>
                    <w:r>
                      <w:rPr>
                        <w:i/>
                        <w:spacing w:val="-3"/>
                        <w:sz w:val="18"/>
                      </w:rPr>
                      <w:t xml:space="preserve"> </w:t>
                    </w:r>
                    <w:r>
                      <w:rPr>
                        <w:i/>
                        <w:sz w:val="18"/>
                      </w:rPr>
                      <w:t>Odeljenja investicionog</w:t>
                    </w:r>
                    <w:r>
                      <w:rPr>
                        <w:i/>
                        <w:spacing w:val="-3"/>
                        <w:sz w:val="18"/>
                      </w:rPr>
                      <w:t xml:space="preserve"> </w:t>
                    </w:r>
                    <w:r>
                      <w:rPr>
                        <w:i/>
                        <w:sz w:val="18"/>
                      </w:rPr>
                      <w:t>bankarstva</w:t>
                    </w:r>
                    <w:r>
                      <w:rPr>
                        <w:i/>
                        <w:spacing w:val="37"/>
                        <w:sz w:val="18"/>
                      </w:rPr>
                      <w:t xml:space="preserve"> </w:t>
                    </w:r>
                    <w:r>
                      <w:rPr>
                        <w:i/>
                        <w:sz w:val="18"/>
                      </w:rPr>
                      <w:t>ALTA</w:t>
                    </w:r>
                    <w:r>
                      <w:rPr>
                        <w:i/>
                        <w:spacing w:val="-2"/>
                        <w:sz w:val="18"/>
                      </w:rPr>
                      <w:t xml:space="preserve"> </w:t>
                    </w:r>
                    <w:r>
                      <w:rPr>
                        <w:i/>
                        <w:sz w:val="18"/>
                      </w:rPr>
                      <w:t>banke</w:t>
                    </w:r>
                    <w:r>
                      <w:rPr>
                        <w:i/>
                        <w:spacing w:val="-3"/>
                        <w:sz w:val="18"/>
                      </w:rPr>
                      <w:t xml:space="preserve"> </w:t>
                    </w:r>
                    <w:r>
                      <w:rPr>
                        <w:i/>
                        <w:sz w:val="18"/>
                      </w:rPr>
                      <w:t>A.D.</w:t>
                    </w:r>
                    <w:r>
                      <w:rPr>
                        <w:i/>
                        <w:spacing w:val="-2"/>
                        <w:sz w:val="18"/>
                      </w:rPr>
                      <w:t xml:space="preserve"> Beograd</w:t>
                    </w:r>
                  </w:p>
                </w:txbxContent>
              </v:textbox>
            </v:shape>
          </w:pict>
        </mc:Fallback>
      </mc:AlternateContent>
    </w:r>
    <w:r>
      <w:rPr>
        <w:sz w:val="20"/>
      </w:rPr>
      <mc:AlternateContent>
        <mc:Choice Requires="wps">
          <w:drawing>
            <wp:anchor distT="0" distB="0" distL="0" distR="0" simplePos="0" relativeHeight="251661312" behindDoc="1" locked="0" layoutInCell="1" allowOverlap="1">
              <wp:simplePos x="0" y="0"/>
              <wp:positionH relativeFrom="page">
                <wp:posOffset>6409055</wp:posOffset>
              </wp:positionH>
              <wp:positionV relativeFrom="page">
                <wp:posOffset>920750</wp:posOffset>
              </wp:positionV>
              <wp:extent cx="445770" cy="156845"/>
              <wp:effectExtent l="0" t="0" r="0" b="0"/>
              <wp:wrapNone/>
              <wp:docPr id="5" name="Textbox 5"/>
              <wp:cNvGraphicFramePr/>
              <a:graphic xmlns:a="http://schemas.openxmlformats.org/drawingml/2006/main">
                <a:graphicData uri="http://schemas.microsoft.com/office/word/2010/wordprocessingShape">
                  <wps:wsp>
                    <wps:cNvSpPr txBox="1"/>
                    <wps:spPr>
                      <a:xfrm>
                        <a:off x="0" y="0"/>
                        <a:ext cx="445770" cy="156845"/>
                      </a:xfrm>
                      <a:prstGeom prst="rect">
                        <a:avLst/>
                      </a:prstGeom>
                    </wps:spPr>
                    <wps:txbx>
                      <w:txbxContent>
                        <w:p w14:paraId="57D4D2A9">
                          <w:pPr>
                            <w:spacing w:before="19"/>
                            <w:ind w:left="20"/>
                            <w:rPr>
                              <w:sz w:val="18"/>
                            </w:rPr>
                          </w:pPr>
                          <w:r>
                            <w:rPr>
                              <w:spacing w:val="-2"/>
                              <w:sz w:val="18"/>
                            </w:rPr>
                            <w:t>INTERNO</w:t>
                          </w:r>
                        </w:p>
                      </w:txbxContent>
                    </wps:txbx>
                    <wps:bodyPr wrap="square" lIns="0" tIns="0" rIns="0" bIns="0" rtlCol="0">
                      <a:noAutofit/>
                    </wps:bodyPr>
                  </wps:wsp>
                </a:graphicData>
              </a:graphic>
            </wp:anchor>
          </w:drawing>
        </mc:Choice>
        <mc:Fallback>
          <w:pict>
            <v:shape id="Textbox 5" o:spid="_x0000_s1026" o:spt="202" type="#_x0000_t202" style="position:absolute;left:0pt;margin-left:504.65pt;margin-top:72.5pt;height:12.35pt;width:35.1pt;mso-position-horizontal-relative:page;mso-position-vertical-relative:page;z-index:-251655168;mso-width-relative:page;mso-height-relative:page;" filled="f" stroked="f" coordsize="21600,21600" o:gfxdata="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UfBDaAAAADQEAAA8AAAAAAAAAAQAgAAAAIgAAAGRycy9kb3ducmV2LnhtbFBLAQIUABQAAAAI&#10;AIdO4kDQNC1hsgEAAHMDAAAOAAAAAAAAAAEAIAAAACkBAABkcnMvZTJvRG9jLnhtbFBLBQYAAAAA&#10;BgAGAFkBAABNBQAAAAA=&#10;">
              <v:fill on="f" focussize="0,0"/>
              <v:stroke on="f"/>
              <v:imagedata o:title=""/>
              <o:lock v:ext="edit" aspectratio="f"/>
              <v:textbox inset="0mm,0mm,0mm,0mm">
                <w:txbxContent>
                  <w:p w14:paraId="57D4D2A9">
                    <w:pPr>
                      <w:spacing w:before="19"/>
                      <w:ind w:left="20"/>
                      <w:rPr>
                        <w:sz w:val="18"/>
                      </w:rPr>
                    </w:pPr>
                    <w:r>
                      <w:rPr>
                        <w:spacing w:val="-2"/>
                        <w:sz w:val="18"/>
                      </w:rPr>
                      <w:t>INTERNO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326EC"/>
    <w:multiLevelType w:val="multilevel"/>
    <w:tmpl w:val="03F326EC"/>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65C1DB5"/>
    <w:multiLevelType w:val="multilevel"/>
    <w:tmpl w:val="065C1DB5"/>
    <w:lvl w:ilvl="0" w:tentative="0">
      <w:start w:val="1"/>
      <w:numFmt w:val="decimal"/>
      <w:lvlText w:val="%1)"/>
      <w:lvlJc w:val="left"/>
      <w:pPr>
        <w:ind w:left="262" w:hanging="262"/>
      </w:pPr>
      <w:rPr>
        <w:rFonts w:hint="default" w:ascii="Arial Narrow" w:hAnsi="Arial Narrow" w:eastAsia="Arial Narrow" w:cs="Arial Narrow"/>
        <w:b w:val="0"/>
        <w:bCs w:val="0"/>
        <w:i w:val="0"/>
        <w:iCs w:val="0"/>
        <w:spacing w:val="0"/>
        <w:w w:val="100"/>
        <w:sz w:val="22"/>
        <w:szCs w:val="22"/>
        <w:lang w:val="bs" w:eastAsia="en-US" w:bidi="ar-SA"/>
      </w:rPr>
    </w:lvl>
    <w:lvl w:ilvl="1" w:tentative="0">
      <w:start w:val="0"/>
      <w:numFmt w:val="bullet"/>
      <w:lvlText w:val="•"/>
      <w:lvlJc w:val="left"/>
      <w:pPr>
        <w:ind w:left="113" w:hanging="113"/>
      </w:pPr>
      <w:rPr>
        <w:rFonts w:hint="default" w:ascii="Arial Narrow" w:hAnsi="Arial Narrow" w:eastAsia="Arial Narrow" w:cs="Arial Narrow"/>
        <w:b w:val="0"/>
        <w:bCs w:val="0"/>
        <w:i w:val="0"/>
        <w:iCs w:val="0"/>
        <w:spacing w:val="0"/>
        <w:w w:val="100"/>
        <w:sz w:val="22"/>
        <w:szCs w:val="22"/>
        <w:lang w:val="bs" w:eastAsia="en-US" w:bidi="ar-SA"/>
      </w:rPr>
    </w:lvl>
    <w:lvl w:ilvl="2" w:tentative="0">
      <w:start w:val="0"/>
      <w:numFmt w:val="bullet"/>
      <w:lvlText w:val="•"/>
      <w:lvlJc w:val="left"/>
      <w:pPr>
        <w:ind w:left="1311" w:hanging="113"/>
      </w:pPr>
      <w:rPr>
        <w:rFonts w:hint="default"/>
        <w:lang w:val="bs" w:eastAsia="en-US" w:bidi="ar-SA"/>
      </w:rPr>
    </w:lvl>
    <w:lvl w:ilvl="3" w:tentative="0">
      <w:start w:val="0"/>
      <w:numFmt w:val="bullet"/>
      <w:lvlText w:val="•"/>
      <w:lvlJc w:val="left"/>
      <w:pPr>
        <w:ind w:left="2362" w:hanging="113"/>
      </w:pPr>
      <w:rPr>
        <w:rFonts w:hint="default"/>
        <w:lang w:val="bs" w:eastAsia="en-US" w:bidi="ar-SA"/>
      </w:rPr>
    </w:lvl>
    <w:lvl w:ilvl="4" w:tentative="0">
      <w:start w:val="0"/>
      <w:numFmt w:val="bullet"/>
      <w:lvlText w:val="•"/>
      <w:lvlJc w:val="left"/>
      <w:pPr>
        <w:ind w:left="3413" w:hanging="113"/>
      </w:pPr>
      <w:rPr>
        <w:rFonts w:hint="default"/>
        <w:lang w:val="bs" w:eastAsia="en-US" w:bidi="ar-SA"/>
      </w:rPr>
    </w:lvl>
    <w:lvl w:ilvl="5" w:tentative="0">
      <w:start w:val="0"/>
      <w:numFmt w:val="bullet"/>
      <w:lvlText w:val="•"/>
      <w:lvlJc w:val="left"/>
      <w:pPr>
        <w:ind w:left="4464" w:hanging="113"/>
      </w:pPr>
      <w:rPr>
        <w:rFonts w:hint="default"/>
        <w:lang w:val="bs" w:eastAsia="en-US" w:bidi="ar-SA"/>
      </w:rPr>
    </w:lvl>
    <w:lvl w:ilvl="6" w:tentative="0">
      <w:start w:val="0"/>
      <w:numFmt w:val="bullet"/>
      <w:lvlText w:val="•"/>
      <w:lvlJc w:val="left"/>
      <w:pPr>
        <w:ind w:left="5515" w:hanging="113"/>
      </w:pPr>
      <w:rPr>
        <w:rFonts w:hint="default"/>
        <w:lang w:val="bs" w:eastAsia="en-US" w:bidi="ar-SA"/>
      </w:rPr>
    </w:lvl>
    <w:lvl w:ilvl="7" w:tentative="0">
      <w:start w:val="0"/>
      <w:numFmt w:val="bullet"/>
      <w:lvlText w:val="•"/>
      <w:lvlJc w:val="left"/>
      <w:pPr>
        <w:ind w:left="6566" w:hanging="113"/>
      </w:pPr>
      <w:rPr>
        <w:rFonts w:hint="default"/>
        <w:lang w:val="bs" w:eastAsia="en-US" w:bidi="ar-SA"/>
      </w:rPr>
    </w:lvl>
    <w:lvl w:ilvl="8" w:tentative="0">
      <w:start w:val="0"/>
      <w:numFmt w:val="bullet"/>
      <w:lvlText w:val="•"/>
      <w:lvlJc w:val="left"/>
      <w:pPr>
        <w:ind w:left="7617" w:hanging="113"/>
      </w:pPr>
      <w:rPr>
        <w:rFonts w:hint="default"/>
        <w:lang w:val="bs" w:eastAsia="en-US" w:bidi="ar-SA"/>
      </w:rPr>
    </w:lvl>
  </w:abstractNum>
  <w:abstractNum w:abstractNumId="2">
    <w:nsid w:val="07463D53"/>
    <w:multiLevelType w:val="multilevel"/>
    <w:tmpl w:val="07463D53"/>
    <w:lvl w:ilvl="0" w:tentative="0">
      <w:start w:val="1"/>
      <w:numFmt w:val="decimal"/>
      <w:lvlText w:val="%1)"/>
      <w:lvlJc w:val="left"/>
      <w:pPr>
        <w:ind w:left="211" w:hanging="212"/>
      </w:pPr>
      <w:rPr>
        <w:rFonts w:hint="default" w:ascii="Arial Narrow" w:hAnsi="Arial Narrow" w:eastAsia="Arial Narrow" w:cs="Arial Narrow"/>
        <w:b w:val="0"/>
        <w:bCs w:val="0"/>
        <w:i w:val="0"/>
        <w:iCs w:val="0"/>
        <w:spacing w:val="0"/>
        <w:w w:val="100"/>
        <w:sz w:val="22"/>
        <w:szCs w:val="22"/>
        <w:lang w:val="bs" w:eastAsia="en-US" w:bidi="ar-SA"/>
      </w:rPr>
    </w:lvl>
    <w:lvl w:ilvl="1" w:tentative="0">
      <w:start w:val="0"/>
      <w:numFmt w:val="bullet"/>
      <w:lvlText w:val=""/>
      <w:lvlJc w:val="left"/>
      <w:pPr>
        <w:ind w:left="1020" w:hanging="360"/>
      </w:pPr>
      <w:rPr>
        <w:rFonts w:hint="default" w:ascii="Symbol" w:hAnsi="Symbol" w:eastAsia="Symbol" w:cs="Symbol"/>
        <w:b w:val="0"/>
        <w:bCs w:val="0"/>
        <w:i w:val="0"/>
        <w:iCs w:val="0"/>
        <w:spacing w:val="0"/>
        <w:w w:val="100"/>
        <w:sz w:val="22"/>
        <w:szCs w:val="22"/>
        <w:lang w:val="bs" w:eastAsia="en-US" w:bidi="ar-SA"/>
      </w:rPr>
    </w:lvl>
    <w:lvl w:ilvl="2" w:tentative="0">
      <w:start w:val="0"/>
      <w:numFmt w:val="bullet"/>
      <w:lvlText w:val="•"/>
      <w:lvlJc w:val="left"/>
      <w:pPr>
        <w:ind w:left="1020" w:hanging="360"/>
      </w:pPr>
      <w:rPr>
        <w:rFonts w:hint="default"/>
        <w:lang w:val="bs" w:eastAsia="en-US" w:bidi="ar-SA"/>
      </w:rPr>
    </w:lvl>
    <w:lvl w:ilvl="3" w:tentative="0">
      <w:start w:val="0"/>
      <w:numFmt w:val="bullet"/>
      <w:lvlText w:val="•"/>
      <w:lvlJc w:val="left"/>
      <w:pPr>
        <w:ind w:left="2107" w:hanging="360"/>
      </w:pPr>
      <w:rPr>
        <w:rFonts w:hint="default"/>
        <w:lang w:val="bs" w:eastAsia="en-US" w:bidi="ar-SA"/>
      </w:rPr>
    </w:lvl>
    <w:lvl w:ilvl="4" w:tentative="0">
      <w:start w:val="0"/>
      <w:numFmt w:val="bullet"/>
      <w:lvlText w:val="•"/>
      <w:lvlJc w:val="left"/>
      <w:pPr>
        <w:ind w:left="3195" w:hanging="360"/>
      </w:pPr>
      <w:rPr>
        <w:rFonts w:hint="default"/>
        <w:lang w:val="bs" w:eastAsia="en-US" w:bidi="ar-SA"/>
      </w:rPr>
    </w:lvl>
    <w:lvl w:ilvl="5" w:tentative="0">
      <w:start w:val="0"/>
      <w:numFmt w:val="bullet"/>
      <w:lvlText w:val="•"/>
      <w:lvlJc w:val="left"/>
      <w:pPr>
        <w:ind w:left="4282" w:hanging="360"/>
      </w:pPr>
      <w:rPr>
        <w:rFonts w:hint="default"/>
        <w:lang w:val="bs" w:eastAsia="en-US" w:bidi="ar-SA"/>
      </w:rPr>
    </w:lvl>
    <w:lvl w:ilvl="6" w:tentative="0">
      <w:start w:val="0"/>
      <w:numFmt w:val="bullet"/>
      <w:lvlText w:val="•"/>
      <w:lvlJc w:val="left"/>
      <w:pPr>
        <w:ind w:left="5370" w:hanging="360"/>
      </w:pPr>
      <w:rPr>
        <w:rFonts w:hint="default"/>
        <w:lang w:val="bs" w:eastAsia="en-US" w:bidi="ar-SA"/>
      </w:rPr>
    </w:lvl>
    <w:lvl w:ilvl="7" w:tentative="0">
      <w:start w:val="0"/>
      <w:numFmt w:val="bullet"/>
      <w:lvlText w:val="•"/>
      <w:lvlJc w:val="left"/>
      <w:pPr>
        <w:ind w:left="6457" w:hanging="360"/>
      </w:pPr>
      <w:rPr>
        <w:rFonts w:hint="default"/>
        <w:lang w:val="bs" w:eastAsia="en-US" w:bidi="ar-SA"/>
      </w:rPr>
    </w:lvl>
    <w:lvl w:ilvl="8" w:tentative="0">
      <w:start w:val="0"/>
      <w:numFmt w:val="bullet"/>
      <w:lvlText w:val="•"/>
      <w:lvlJc w:val="left"/>
      <w:pPr>
        <w:ind w:left="7545" w:hanging="360"/>
      </w:pPr>
      <w:rPr>
        <w:rFonts w:hint="default"/>
        <w:lang w:val="bs" w:eastAsia="en-US" w:bidi="ar-SA"/>
      </w:rPr>
    </w:lvl>
  </w:abstractNum>
  <w:abstractNum w:abstractNumId="3">
    <w:nsid w:val="12395226"/>
    <w:multiLevelType w:val="multilevel"/>
    <w:tmpl w:val="12395226"/>
    <w:lvl w:ilvl="0" w:tentative="0">
      <w:start w:val="2"/>
      <w:numFmt w:val="bullet"/>
      <w:lvlText w:val="-"/>
      <w:lvlJc w:val="left"/>
      <w:pPr>
        <w:ind w:left="1440" w:hanging="360"/>
      </w:pPr>
      <w:rPr>
        <w:rFonts w:hint="default" w:ascii="Arial Narrow" w:hAnsi="Arial Narrow" w:eastAsia="Arial Narrow" w:cs="Arial Narrow"/>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20906EA1"/>
    <w:multiLevelType w:val="multilevel"/>
    <w:tmpl w:val="20906E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0E24130"/>
    <w:multiLevelType w:val="multilevel"/>
    <w:tmpl w:val="50E2413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A6D15A0"/>
    <w:multiLevelType w:val="multilevel"/>
    <w:tmpl w:val="6A6D15A0"/>
    <w:lvl w:ilvl="0" w:tentative="0">
      <w:start w:val="3"/>
      <w:numFmt w:val="decimal"/>
      <w:lvlText w:val="%1."/>
      <w:lvlJc w:val="left"/>
      <w:pPr>
        <w:tabs>
          <w:tab w:val="left" w:pos="720"/>
        </w:tabs>
        <w:ind w:left="720" w:hanging="360"/>
      </w:pPr>
      <w:rPr>
        <w:i w:val="0"/>
        <w:i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F5E4525"/>
    <w:multiLevelType w:val="multilevel"/>
    <w:tmpl w:val="6F5E4525"/>
    <w:lvl w:ilvl="0" w:tentative="0">
      <w:start w:val="0"/>
      <w:numFmt w:val="bullet"/>
      <w:lvlText w:val=""/>
      <w:lvlJc w:val="left"/>
      <w:pPr>
        <w:ind w:left="720" w:hanging="360"/>
      </w:pPr>
      <w:rPr>
        <w:rFonts w:hint="default" w:ascii="Symbol" w:hAnsi="Symbol" w:eastAsia="Symbol" w:cs="Symbol"/>
        <w:b w:val="0"/>
        <w:bCs w:val="0"/>
        <w:i w:val="0"/>
        <w:iCs w:val="0"/>
        <w:spacing w:val="0"/>
        <w:w w:val="100"/>
        <w:sz w:val="22"/>
        <w:szCs w:val="22"/>
        <w:lang w:val="bs" w:eastAsia="en-US" w:bidi="ar-SA"/>
      </w:rPr>
    </w:lvl>
    <w:lvl w:ilvl="1" w:tentative="0">
      <w:start w:val="0"/>
      <w:numFmt w:val="bullet"/>
      <w:lvlText w:val="o"/>
      <w:lvlJc w:val="left"/>
      <w:pPr>
        <w:ind w:left="1637" w:hanging="360"/>
      </w:pPr>
      <w:rPr>
        <w:rFonts w:hint="default" w:ascii="Courier New" w:hAnsi="Courier New" w:eastAsia="Courier New" w:cs="Courier New"/>
        <w:b w:val="0"/>
        <w:bCs w:val="0"/>
        <w:i w:val="0"/>
        <w:iCs w:val="0"/>
        <w:spacing w:val="0"/>
        <w:w w:val="100"/>
        <w:sz w:val="22"/>
        <w:szCs w:val="22"/>
        <w:lang w:val="bs" w:eastAsia="en-US" w:bidi="ar-SA"/>
      </w:rPr>
    </w:lvl>
    <w:lvl w:ilvl="2" w:tentative="0">
      <w:start w:val="0"/>
      <w:numFmt w:val="bullet"/>
      <w:lvlText w:val="•"/>
      <w:lvlJc w:val="left"/>
      <w:pPr>
        <w:ind w:left="2360" w:hanging="360"/>
      </w:pPr>
      <w:rPr>
        <w:rFonts w:hint="default"/>
        <w:lang w:val="bs" w:eastAsia="en-US" w:bidi="ar-SA"/>
      </w:rPr>
    </w:lvl>
    <w:lvl w:ilvl="3" w:tentative="0">
      <w:start w:val="0"/>
      <w:numFmt w:val="bullet"/>
      <w:lvlText w:val="•"/>
      <w:lvlJc w:val="left"/>
      <w:pPr>
        <w:ind w:left="3280" w:hanging="360"/>
      </w:pPr>
      <w:rPr>
        <w:rFonts w:hint="default"/>
        <w:lang w:val="bs" w:eastAsia="en-US" w:bidi="ar-SA"/>
      </w:rPr>
    </w:lvl>
    <w:lvl w:ilvl="4" w:tentative="0">
      <w:start w:val="0"/>
      <w:numFmt w:val="bullet"/>
      <w:lvlText w:val="•"/>
      <w:lvlJc w:val="left"/>
      <w:pPr>
        <w:ind w:left="4200" w:hanging="360"/>
      </w:pPr>
      <w:rPr>
        <w:rFonts w:hint="default"/>
        <w:lang w:val="bs" w:eastAsia="en-US" w:bidi="ar-SA"/>
      </w:rPr>
    </w:lvl>
    <w:lvl w:ilvl="5" w:tentative="0">
      <w:start w:val="0"/>
      <w:numFmt w:val="bullet"/>
      <w:lvlText w:val="•"/>
      <w:lvlJc w:val="left"/>
      <w:pPr>
        <w:ind w:left="5120" w:hanging="360"/>
      </w:pPr>
      <w:rPr>
        <w:rFonts w:hint="default"/>
        <w:lang w:val="bs" w:eastAsia="en-US" w:bidi="ar-SA"/>
      </w:rPr>
    </w:lvl>
    <w:lvl w:ilvl="6" w:tentative="0">
      <w:start w:val="0"/>
      <w:numFmt w:val="bullet"/>
      <w:lvlText w:val="•"/>
      <w:lvlJc w:val="left"/>
      <w:pPr>
        <w:ind w:left="6040" w:hanging="360"/>
      </w:pPr>
      <w:rPr>
        <w:rFonts w:hint="default"/>
        <w:lang w:val="bs" w:eastAsia="en-US" w:bidi="ar-SA"/>
      </w:rPr>
    </w:lvl>
    <w:lvl w:ilvl="7" w:tentative="0">
      <w:start w:val="0"/>
      <w:numFmt w:val="bullet"/>
      <w:lvlText w:val="•"/>
      <w:lvlJc w:val="left"/>
      <w:pPr>
        <w:ind w:left="6960" w:hanging="360"/>
      </w:pPr>
      <w:rPr>
        <w:rFonts w:hint="default"/>
        <w:lang w:val="bs" w:eastAsia="en-US" w:bidi="ar-SA"/>
      </w:rPr>
    </w:lvl>
    <w:lvl w:ilvl="8" w:tentative="0">
      <w:start w:val="0"/>
      <w:numFmt w:val="bullet"/>
      <w:lvlText w:val="•"/>
      <w:lvlJc w:val="left"/>
      <w:pPr>
        <w:ind w:left="7880" w:hanging="360"/>
      </w:pPr>
      <w:rPr>
        <w:rFonts w:hint="default"/>
        <w:lang w:val="bs" w:eastAsia="en-US" w:bidi="ar-SA"/>
      </w:rPr>
    </w:lvl>
  </w:abstractNum>
  <w:abstractNum w:abstractNumId="8">
    <w:nsid w:val="74A80F22"/>
    <w:multiLevelType w:val="multilevel"/>
    <w:tmpl w:val="74A80F22"/>
    <w:lvl w:ilvl="0" w:tentative="0">
      <w:start w:val="1"/>
      <w:numFmt w:val="decimal"/>
      <w:lvlText w:val="%1)"/>
      <w:lvlJc w:val="left"/>
      <w:pPr>
        <w:tabs>
          <w:tab w:val="left" w:pos="720"/>
        </w:tabs>
        <w:ind w:left="720" w:hanging="360"/>
      </w:pPr>
      <w:rPr>
        <w:rFonts w:ascii="Arial Narrow" w:hAnsi="Arial Narrow" w:eastAsia="Arial Narrow" w:cs="Arial Narrow"/>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7375D0D"/>
    <w:multiLevelType w:val="multilevel"/>
    <w:tmpl w:val="77375D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5"/>
  </w:num>
  <w:num w:numId="3">
    <w:abstractNumId w:val="4"/>
  </w:num>
  <w:num w:numId="4">
    <w:abstractNumId w:val="1"/>
  </w:num>
  <w:num w:numId="5">
    <w:abstractNumId w:val="0"/>
  </w:num>
  <w:num w:numId="6">
    <w:abstractNumId w:val="6"/>
  </w:num>
  <w:num w:numId="7">
    <w:abstractNumId w:val="8"/>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4F"/>
    <w:rsid w:val="00004F0D"/>
    <w:rsid w:val="0006599D"/>
    <w:rsid w:val="000752FC"/>
    <w:rsid w:val="0007630B"/>
    <w:rsid w:val="00076A01"/>
    <w:rsid w:val="00094C79"/>
    <w:rsid w:val="000965DE"/>
    <w:rsid w:val="000B0862"/>
    <w:rsid w:val="000C5B9F"/>
    <w:rsid w:val="000E091D"/>
    <w:rsid w:val="000F76E4"/>
    <w:rsid w:val="00101E0D"/>
    <w:rsid w:val="00104C57"/>
    <w:rsid w:val="0012279D"/>
    <w:rsid w:val="001259BC"/>
    <w:rsid w:val="0013012B"/>
    <w:rsid w:val="00137FF9"/>
    <w:rsid w:val="00155F92"/>
    <w:rsid w:val="00161CED"/>
    <w:rsid w:val="00167A47"/>
    <w:rsid w:val="00172FF2"/>
    <w:rsid w:val="001A23F8"/>
    <w:rsid w:val="001B7B5B"/>
    <w:rsid w:val="00211332"/>
    <w:rsid w:val="00244FAA"/>
    <w:rsid w:val="00244FBC"/>
    <w:rsid w:val="002474A1"/>
    <w:rsid w:val="002534D8"/>
    <w:rsid w:val="00256287"/>
    <w:rsid w:val="002808E1"/>
    <w:rsid w:val="002900B3"/>
    <w:rsid w:val="0029065D"/>
    <w:rsid w:val="00293EE0"/>
    <w:rsid w:val="00294351"/>
    <w:rsid w:val="00294B09"/>
    <w:rsid w:val="00297004"/>
    <w:rsid w:val="002B66B3"/>
    <w:rsid w:val="002E1466"/>
    <w:rsid w:val="002E3CC3"/>
    <w:rsid w:val="002F7EAD"/>
    <w:rsid w:val="00303D86"/>
    <w:rsid w:val="00304C65"/>
    <w:rsid w:val="003065C1"/>
    <w:rsid w:val="00306813"/>
    <w:rsid w:val="00323DBE"/>
    <w:rsid w:val="00360BC6"/>
    <w:rsid w:val="003651CA"/>
    <w:rsid w:val="00365743"/>
    <w:rsid w:val="003804B2"/>
    <w:rsid w:val="003818A9"/>
    <w:rsid w:val="003B2CF7"/>
    <w:rsid w:val="003E0BB5"/>
    <w:rsid w:val="00402EFB"/>
    <w:rsid w:val="00403462"/>
    <w:rsid w:val="00412317"/>
    <w:rsid w:val="00422679"/>
    <w:rsid w:val="004229A2"/>
    <w:rsid w:val="00424916"/>
    <w:rsid w:val="004579D0"/>
    <w:rsid w:val="0046206D"/>
    <w:rsid w:val="004859FD"/>
    <w:rsid w:val="00490020"/>
    <w:rsid w:val="004A7627"/>
    <w:rsid w:val="004B2BD8"/>
    <w:rsid w:val="004C40A5"/>
    <w:rsid w:val="004D2DB2"/>
    <w:rsid w:val="004E08F5"/>
    <w:rsid w:val="004F754E"/>
    <w:rsid w:val="00526E90"/>
    <w:rsid w:val="00583731"/>
    <w:rsid w:val="005946BE"/>
    <w:rsid w:val="005A588B"/>
    <w:rsid w:val="005B6EB0"/>
    <w:rsid w:val="005D52EE"/>
    <w:rsid w:val="005E6D25"/>
    <w:rsid w:val="0060466E"/>
    <w:rsid w:val="0061066F"/>
    <w:rsid w:val="00614EC6"/>
    <w:rsid w:val="00635696"/>
    <w:rsid w:val="00684FE2"/>
    <w:rsid w:val="00686143"/>
    <w:rsid w:val="0069584F"/>
    <w:rsid w:val="006A20F6"/>
    <w:rsid w:val="006B5B4C"/>
    <w:rsid w:val="006D6164"/>
    <w:rsid w:val="006E6CBD"/>
    <w:rsid w:val="00701EC6"/>
    <w:rsid w:val="00721F32"/>
    <w:rsid w:val="00735521"/>
    <w:rsid w:val="00762D70"/>
    <w:rsid w:val="00765759"/>
    <w:rsid w:val="00770A22"/>
    <w:rsid w:val="00772F8B"/>
    <w:rsid w:val="00774E5E"/>
    <w:rsid w:val="0078646C"/>
    <w:rsid w:val="0079064F"/>
    <w:rsid w:val="007A4DD8"/>
    <w:rsid w:val="007C0491"/>
    <w:rsid w:val="007E35F4"/>
    <w:rsid w:val="007F15C4"/>
    <w:rsid w:val="00805523"/>
    <w:rsid w:val="0084150A"/>
    <w:rsid w:val="00843DB2"/>
    <w:rsid w:val="00846C38"/>
    <w:rsid w:val="0086379C"/>
    <w:rsid w:val="00867005"/>
    <w:rsid w:val="00887552"/>
    <w:rsid w:val="008A4C12"/>
    <w:rsid w:val="008E1650"/>
    <w:rsid w:val="008F4D63"/>
    <w:rsid w:val="00910D52"/>
    <w:rsid w:val="0095520E"/>
    <w:rsid w:val="00965391"/>
    <w:rsid w:val="00965680"/>
    <w:rsid w:val="0099581F"/>
    <w:rsid w:val="009A0682"/>
    <w:rsid w:val="009A3662"/>
    <w:rsid w:val="009A7681"/>
    <w:rsid w:val="009B254B"/>
    <w:rsid w:val="009C095A"/>
    <w:rsid w:val="009D028A"/>
    <w:rsid w:val="009D22AB"/>
    <w:rsid w:val="009E665C"/>
    <w:rsid w:val="009F7C2E"/>
    <w:rsid w:val="00A04019"/>
    <w:rsid w:val="00A07F5D"/>
    <w:rsid w:val="00A339F9"/>
    <w:rsid w:val="00A3527F"/>
    <w:rsid w:val="00A739FD"/>
    <w:rsid w:val="00A8044F"/>
    <w:rsid w:val="00AB4D31"/>
    <w:rsid w:val="00AB509E"/>
    <w:rsid w:val="00AC4CF9"/>
    <w:rsid w:val="00AE1269"/>
    <w:rsid w:val="00B1557F"/>
    <w:rsid w:val="00B1757F"/>
    <w:rsid w:val="00B35B9C"/>
    <w:rsid w:val="00B37FB2"/>
    <w:rsid w:val="00B52453"/>
    <w:rsid w:val="00B579F2"/>
    <w:rsid w:val="00B61B32"/>
    <w:rsid w:val="00B85AC6"/>
    <w:rsid w:val="00BB532F"/>
    <w:rsid w:val="00BD2BE5"/>
    <w:rsid w:val="00BE2511"/>
    <w:rsid w:val="00BF62F6"/>
    <w:rsid w:val="00C33062"/>
    <w:rsid w:val="00C43489"/>
    <w:rsid w:val="00C543B8"/>
    <w:rsid w:val="00C6167F"/>
    <w:rsid w:val="00C6782B"/>
    <w:rsid w:val="00C703B6"/>
    <w:rsid w:val="00CA2899"/>
    <w:rsid w:val="00CB6E82"/>
    <w:rsid w:val="00CB7627"/>
    <w:rsid w:val="00CE4341"/>
    <w:rsid w:val="00D1150B"/>
    <w:rsid w:val="00D137FE"/>
    <w:rsid w:val="00D52178"/>
    <w:rsid w:val="00D60B18"/>
    <w:rsid w:val="00D64355"/>
    <w:rsid w:val="00D812FB"/>
    <w:rsid w:val="00D93345"/>
    <w:rsid w:val="00D94396"/>
    <w:rsid w:val="00DA11B3"/>
    <w:rsid w:val="00DA64D5"/>
    <w:rsid w:val="00DD024A"/>
    <w:rsid w:val="00DF7B78"/>
    <w:rsid w:val="00E03610"/>
    <w:rsid w:val="00E12F4E"/>
    <w:rsid w:val="00E33895"/>
    <w:rsid w:val="00E41B9C"/>
    <w:rsid w:val="00E572CB"/>
    <w:rsid w:val="00E63338"/>
    <w:rsid w:val="00E7446B"/>
    <w:rsid w:val="00EA3F2F"/>
    <w:rsid w:val="00EA61CA"/>
    <w:rsid w:val="00EB0B19"/>
    <w:rsid w:val="00EF0897"/>
    <w:rsid w:val="00EF6F49"/>
    <w:rsid w:val="00F07E50"/>
    <w:rsid w:val="00F167ED"/>
    <w:rsid w:val="00F37776"/>
    <w:rsid w:val="00F50242"/>
    <w:rsid w:val="00F8544E"/>
    <w:rsid w:val="00F87BA1"/>
    <w:rsid w:val="00F922F4"/>
    <w:rsid w:val="00F95AC4"/>
    <w:rsid w:val="00FF3BDE"/>
    <w:rsid w:val="00FF7353"/>
    <w:rsid w:val="6B90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Narrow" w:hAnsi="Arial Narrow" w:eastAsia="Arial Narrow" w:cs="Arial Narrow"/>
      <w:sz w:val="22"/>
      <w:szCs w:val="22"/>
      <w:lang w:val="bs" w:eastAsia="en-US" w:bidi="ar-SA"/>
    </w:rPr>
  </w:style>
  <w:style w:type="paragraph" w:styleId="2">
    <w:name w:val="heading 1"/>
    <w:basedOn w:val="1"/>
    <w:qFormat/>
    <w:uiPriority w:val="9"/>
    <w:pPr>
      <w:outlineLvl w:val="0"/>
    </w:pPr>
    <w:rPr>
      <w:b/>
      <w:bCs/>
    </w:rPr>
  </w:style>
  <w:style w:type="paragraph" w:styleId="3">
    <w:name w:val="heading 2"/>
    <w:basedOn w:val="1"/>
    <w:unhideWhenUsed/>
    <w:qFormat/>
    <w:uiPriority w:val="9"/>
    <w:pPr>
      <w:spacing w:before="1"/>
      <w:outlineLvl w:val="1"/>
    </w:pPr>
    <w:rPr>
      <w:b/>
      <w:bCs/>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style>
  <w:style w:type="character" w:styleId="7">
    <w:name w:val="Hyperlink"/>
    <w:basedOn w:val="4"/>
    <w:unhideWhenUsed/>
    <w:qFormat/>
    <w:uiPriority w:val="99"/>
    <w:rPr>
      <w:color w:val="0000FF" w:themeColor="hyperlink"/>
      <w:u w:val="single"/>
      <w14:textFill>
        <w14:solidFill>
          <w14:schemeClr w14:val="hlink"/>
        </w14:solidFill>
      </w14:textFill>
    </w:rPr>
  </w:style>
  <w:style w:type="paragraph" w:styleId="8">
    <w:name w:val="Normal (Web)"/>
    <w:basedOn w:val="1"/>
    <w:unhideWhenUsed/>
    <w:uiPriority w:val="99"/>
    <w:pPr>
      <w:widowControl/>
      <w:autoSpaceDE/>
      <w:autoSpaceDN/>
      <w:spacing w:before="100" w:beforeAutospacing="1" w:after="100" w:afterAutospacing="1"/>
    </w:pPr>
    <w:rPr>
      <w:rFonts w:ascii="Times New Roman" w:hAnsi="Times New Roman" w:eastAsia="Times New Roman" w:cs="Times New Roman"/>
      <w:sz w:val="24"/>
      <w:szCs w:val="24"/>
      <w:lang w:val="en-US"/>
    </w:rPr>
  </w:style>
  <w:style w:type="character" w:styleId="9">
    <w:name w:val="Strong"/>
    <w:basedOn w:val="4"/>
    <w:qFormat/>
    <w:uiPriority w:val="22"/>
    <w:rPr>
      <w:b/>
      <w:bCs/>
    </w:rPr>
  </w:style>
  <w:style w:type="table" w:styleId="10">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Title"/>
    <w:basedOn w:val="1"/>
    <w:qFormat/>
    <w:uiPriority w:val="10"/>
    <w:pPr>
      <w:ind w:right="355"/>
      <w:jc w:val="center"/>
    </w:pPr>
    <w:rPr>
      <w:b/>
      <w:bCs/>
      <w:sz w:val="28"/>
      <w:szCs w:val="28"/>
    </w:rPr>
  </w:style>
  <w:style w:type="paragraph" w:styleId="12">
    <w:name w:val="List Paragraph"/>
    <w:basedOn w:val="1"/>
    <w:qFormat/>
    <w:uiPriority w:val="1"/>
    <w:pPr>
      <w:ind w:left="720" w:hanging="360"/>
    </w:pPr>
  </w:style>
  <w:style w:type="paragraph" w:customStyle="1" w:styleId="13">
    <w:name w:val="Table Paragraph"/>
    <w:basedOn w:val="1"/>
    <w:qFormat/>
    <w:uiPriority w:val="1"/>
  </w:style>
  <w:style w:type="character" w:customStyle="1" w:styleId="14">
    <w:name w:val="Unresolved Mention"/>
    <w:basedOn w:val="4"/>
    <w:semiHidden/>
    <w:unhideWhenUsed/>
    <w:qFormat/>
    <w:uiPriority w:val="99"/>
    <w:rPr>
      <w:color w:val="605E5C"/>
      <w:shd w:val="clear" w:color="auto" w:fill="E1DFDD"/>
    </w:rPr>
  </w:style>
  <w:style w:type="paragraph" w:customStyle="1" w:styleId="15">
    <w:name w:val="isselectedend"/>
    <w:basedOn w:val="1"/>
    <w:uiPriority w:val="0"/>
    <w:pPr>
      <w:widowControl/>
      <w:autoSpaceDE/>
      <w:autoSpaceDN/>
      <w:spacing w:before="100" w:beforeAutospacing="1" w:after="100" w:afterAutospacing="1"/>
    </w:pPr>
    <w:rPr>
      <w:rFonts w:ascii="Times New Roman" w:hAnsi="Times New Roman" w:eastAsia="Times New Roman" w:cs="Times New Roman"/>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ECC282-0EED-4B64-9E21-A76EE21D703A}">
  <ds:schemaRefs/>
</ds:datastoreItem>
</file>

<file path=docProps/app.xml><?xml version="1.0" encoding="utf-8"?>
<Properties xmlns="http://schemas.openxmlformats.org/officeDocument/2006/extended-properties" xmlns:vt="http://schemas.openxmlformats.org/officeDocument/2006/docPropsVTypes">
  <Template>Normal</Template>
  <Pages>13</Pages>
  <Words>5100</Words>
  <Characters>28881</Characters>
  <Lines>512</Lines>
  <Paragraphs>221</Paragraphs>
  <TotalTime>564</TotalTime>
  <ScaleCrop>false</ScaleCrop>
  <LinksUpToDate>false</LinksUpToDate>
  <CharactersWithSpaces>33863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2026-05-30T10:44:00Z</dcterms:created>
  <dc:creator>Aleksandar Jaredić</dc:creator>
  <cp:lastModifiedBy>Beo Almas</cp:lastModifiedBy>
  <cp:lastPrinted>2026-05-30T10:42:00Z</cp:lastPrinted>
  <dcterms:modified xsi:type="dcterms:W3CDTF">2026-06-01T08:31:52Z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2026-05-25T00:00:00Z</vt:filetime>
  </property>
  <property fmtid="{D5CDD505-2E9C-101B-9397-08002B2CF9AE}" pid="3" name="Creator">
    <vt:lpwstr>Microsoft® Word for Microsoft 365</vt:lpwstr>
  </property>
  <property fmtid="{D5CDD505-2E9C-101B-9397-08002B2CF9AE}" pid="4" name="LastSaved">
    <vt:filetime>2026-05-30T00:00:00Z</vt:filetime>
  </property>
  <property fmtid="{D5CDD505-2E9C-101B-9397-08002B2CF9AE}" pid="5" name="MSIP_Label_ba1f61e9-7410-4c15-9e17-9af484437d7c_ActionId">
    <vt:lpwstr>c66bfefc-077b-4f73-9fbf-6582172cae29</vt:lpwstr>
  </property>
  <property fmtid="{D5CDD505-2E9C-101B-9397-08002B2CF9AE}" pid="6" name="MSIP_Label_ba1f61e9-7410-4c15-9e17-9af484437d7c_ContentBits">
    <vt:lpwstr>1</vt:lpwstr>
  </property>
  <property fmtid="{D5CDD505-2E9C-101B-9397-08002B2CF9AE}" pid="7" name="MSIP_Label_ba1f61e9-7410-4c15-9e17-9af484437d7c_Enabled">
    <vt:lpwstr>true</vt:lpwstr>
  </property>
  <property fmtid="{D5CDD505-2E9C-101B-9397-08002B2CF9AE}" pid="8" name="MSIP_Label_ba1f61e9-7410-4c15-9e17-9af484437d7c_Method">
    <vt:lpwstr>Privileged</vt:lpwstr>
  </property>
  <property fmtid="{D5CDD505-2E9C-101B-9397-08002B2CF9AE}" pid="9" name="MSIP_Label_ba1f61e9-7410-4c15-9e17-9af484437d7c_Name">
    <vt:lpwstr>ba1f61e9-7410-4c15-9e17-9af484437d7c</vt:lpwstr>
  </property>
  <property fmtid="{D5CDD505-2E9C-101B-9397-08002B2CF9AE}" pid="10" name="MSIP_Label_ba1f61e9-7410-4c15-9e17-9af484437d7c_SetDate">
    <vt:lpwstr>2024-12-11T09:35:43Z</vt:lpwstr>
  </property>
  <property fmtid="{D5CDD505-2E9C-101B-9397-08002B2CF9AE}" pid="11" name="MSIP_Label_ba1f61e9-7410-4c15-9e17-9af484437d7c_SiteId">
    <vt:lpwstr>4ed15eaf-d69d-49e4-b264-afae60149deb</vt:lpwstr>
  </property>
  <property fmtid="{D5CDD505-2E9C-101B-9397-08002B2CF9AE}" pid="12" name="Producer">
    <vt:lpwstr>Microsoft® Word for Microsoft 365</vt:lpwstr>
  </property>
  <property fmtid="{D5CDD505-2E9C-101B-9397-08002B2CF9AE}" pid="13" name="KSOProductBuildVer">
    <vt:lpwstr>1033-12.1.0.26880</vt:lpwstr>
  </property>
  <property fmtid="{D5CDD505-2E9C-101B-9397-08002B2CF9AE}" pid="14" name="ICV">
    <vt:lpwstr>3BA9AEBA741B41E0AC5A93FE0A0459E7_13</vt:lpwstr>
  </property>
</Properties>
</file>