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Loan for Adaptation, Reconstruction and Expansion of Residential Space in RSD</w:t>
      </w:r>
      <w:r w:rsidDel="00000000" w:rsidR="00000000" w:rsidRPr="00000000">
        <w:rPr>
          <w:rtl w:val="0"/>
        </w:rPr>
      </w:r>
    </w:p>
    <w:p w:rsidR="00000000" w:rsidDel="00000000" w:rsidP="00000000" w:rsidRDefault="00000000" w:rsidRPr="00000000" w14:paraId="00000004">
      <w:pPr>
        <w:rPr>
          <w:rFonts w:ascii="Arial Narrow" w:cs="Arial Narrow" w:eastAsia="Arial Narrow" w:hAnsi="Arial Narrow"/>
          <w:sz w:val="20"/>
          <w:szCs w:val="20"/>
        </w:rPr>
      </w:pPr>
      <w:r w:rsidDel="00000000" w:rsidR="00000000" w:rsidRPr="00000000">
        <w:rPr>
          <w:rtl w:val="0"/>
        </w:rPr>
      </w:r>
    </w:p>
    <w:tbl>
      <w:tblPr>
        <w:tblStyle w:val="Table1"/>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505"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and pensioners with regular monthly income. Users who are at least 20 years of age at the time of applying for the loan and no older than 75 years of age at the time of repayment of the final loan annuity.</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for Adaptation, Reconstruction and Expansion of Residential Space</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indexation to EUR</w:t>
            </w:r>
          </w:p>
        </w:tc>
      </w:tr>
      <w:tr>
        <w:trPr>
          <w:cantSplit w:val="0"/>
          <w:trHeight w:val="34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3,000,000.00 up to the value of the works, in accordance with the clients’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120 to 180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456"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3.09% + 6M BELIBOR, per annum, variable</w:t>
            </w:r>
          </w:p>
          <w:p w:rsidR="00000000" w:rsidDel="00000000" w:rsidP="00000000" w:rsidRDefault="00000000" w:rsidRPr="00000000" w14:paraId="0000001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If, on the agreed adjustment date, the variable interest rate exceeds the interest rate prescribed by the NBS Decision, the Bank shall apply the prescribed NBS Decision interest rate for the following calculation period.</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0.50% of the loan amount, one-time payment</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account of the contractor and/or seller of goods and services, while 30% shall be paid to the Borrower’s current account</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 </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269" w:hRule="atLeast"/>
          <w:tblHeader w:val="0"/>
        </w:trPr>
        <w:tc>
          <w:tcP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Two blank own bills of exchange bearing the clause “without protest”, issued by the Borrower together with a bill-of-exchange authorization</w:t>
            </w:r>
          </w:p>
          <w:p w:rsidR="00000000" w:rsidDel="00000000" w:rsidP="00000000" w:rsidRDefault="00000000" w:rsidRPr="00000000" w14:paraId="0000002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First-ranking mortgage over real estate in favour of the Bank, appraised by an authorised appraiser from the Bank’s list of appraisers</w:t>
            </w:r>
          </w:p>
          <w:p w:rsidR="00000000" w:rsidDel="00000000" w:rsidP="00000000" w:rsidRDefault="00000000" w:rsidRPr="00000000" w14:paraId="0000002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Real estate insurance assigned in favour of the Bank with insurance companies</w:t>
            </w:r>
          </w:p>
        </w:tc>
      </w:tr>
      <w:tr>
        <w:trPr>
          <w:cantSplit w:val="0"/>
          <w:trHeight w:val="269" w:hRule="atLeast"/>
          <w:tblHeader w:val="0"/>
        </w:trPr>
        <w:tc>
          <w:tcPr>
            <w:vAlign w:val="center"/>
          </w:tcPr>
          <w:p w:rsidR="00000000" w:rsidDel="00000000" w:rsidP="00000000" w:rsidRDefault="00000000" w:rsidRPr="00000000" w14:paraId="0000002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Up to the amount of actual damage suffered due to early repayment, and not exceeding:</w:t>
            </w:r>
          </w:p>
          <w:p w:rsidR="00000000" w:rsidDel="00000000" w:rsidP="00000000" w:rsidRDefault="00000000" w:rsidRPr="00000000" w14:paraId="00000028">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1% of the amount of the early repaid loan, if the period between the early repayment and the scheduled loan repayment date exceeds one year; or</w:t>
            </w:r>
          </w:p>
          <w:p w:rsidR="00000000" w:rsidDel="00000000" w:rsidP="00000000" w:rsidRDefault="00000000" w:rsidRPr="00000000" w14:paraId="0000002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 0.5% of the amount of the early repaid loan, if the period between the early repayment and the scheduled loan repayment date is less than one year.</w:t>
            </w:r>
          </w:p>
          <w:p w:rsidR="00000000" w:rsidDel="00000000" w:rsidP="00000000" w:rsidRDefault="00000000" w:rsidRPr="00000000" w14:paraId="0000002A">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Actual damage shall mean the difference between the interest agreed with the Borrower and the average weighted interest rate for this type of loan published by the National Bank of Serbia on its website.</w:t>
            </w:r>
          </w:p>
          <w:p w:rsidR="00000000" w:rsidDel="00000000" w:rsidP="00000000" w:rsidRDefault="00000000" w:rsidRPr="00000000" w14:paraId="0000002C">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Bank shall charge this fee provided that the amount of early repayment within a period of 12 (twelve) months exceeds RSD 1,200,000.</w:t>
            </w:r>
          </w:p>
        </w:tc>
      </w:tr>
      <w:tr>
        <w:trPr>
          <w:cantSplit w:val="0"/>
          <w:trHeight w:val="269" w:hRule="atLeast"/>
          <w:tblHeader w:val="0"/>
        </w:trPr>
        <w:tc>
          <w:tcPr>
            <w:vAlign w:val="center"/>
          </w:tcPr>
          <w:p w:rsidR="00000000" w:rsidDel="00000000" w:rsidP="00000000" w:rsidRDefault="00000000" w:rsidRPr="00000000" w14:paraId="0000002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Due Date of Annuities and Adjustment of Variable NIR to the Value of 6M EURIBOR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On the 5th or 20th day of each month</w:t>
            </w:r>
          </w:p>
          <w:p w:rsidR="00000000" w:rsidDel="00000000" w:rsidP="00000000" w:rsidRDefault="00000000" w:rsidRPr="00000000" w14:paraId="00000030">
            <w:pPr>
              <w:spacing w:after="0" w:line="240" w:lineRule="auto"/>
              <w:jc w:val="both"/>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Adjustment of the nominal interest rate to the value of 6M BELIBOR shall be performed on 05 January and 05 July or 20 January and 20 July for the following six-month period, depending on whether the loan falls due on the 5th or the 20th day of the month. The adjustment shall be performed according to the officially published 6M BELIBOR values on 20 December and 20 June.</w:t>
            </w:r>
          </w:p>
        </w:tc>
      </w:tr>
      <w:tr>
        <w:trPr>
          <w:cantSplit w:val="0"/>
          <w:trHeight w:val="269" w:hRule="atLeast"/>
          <w:tblHeader w:val="0"/>
        </w:trPr>
        <w:tc>
          <w:tcPr>
            <w:vAlign w:val="center"/>
          </w:tcPr>
          <w:p w:rsidR="00000000" w:rsidDel="00000000" w:rsidP="00000000" w:rsidRDefault="00000000" w:rsidRPr="00000000" w14:paraId="0000003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3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w:t>
            </w:r>
          </w:p>
        </w:tc>
      </w:tr>
    </w:tbl>
    <w:p w:rsidR="00000000" w:rsidDel="00000000" w:rsidP="00000000" w:rsidRDefault="00000000" w:rsidRPr="00000000" w14:paraId="00000034">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5">
      <w:pPr>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36">
      <w:pPr>
        <w:rPr>
          <w:rFonts w:ascii="Arial Narrow" w:cs="Arial Narrow" w:eastAsia="Arial Narrow" w:hAnsi="Arial Narrow"/>
          <w:sz w:val="18"/>
          <w:szCs w:val="18"/>
        </w:rPr>
      </w:pPr>
      <w:r w:rsidDel="00000000" w:rsidR="00000000" w:rsidRPr="00000000">
        <w:rPr>
          <w:rtl w:val="0"/>
        </w:rPr>
      </w:r>
    </w:p>
    <w:tbl>
      <w:tblPr>
        <w:tblStyle w:val="Table2"/>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5812"/>
        <w:gridCol w:w="3104"/>
        <w:tblGridChange w:id="0">
          <w:tblGrid>
            <w:gridCol w:w="5812"/>
            <w:gridCol w:w="3104"/>
          </w:tblGrid>
        </w:tblGridChange>
      </w:tblGrid>
      <w:tr>
        <w:trPr>
          <w:cantSplit w:val="0"/>
          <w:trHeight w:val="485"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37">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w:t>
            </w:r>
            <w:r w:rsidDel="00000000" w:rsidR="00000000" w:rsidRPr="00000000">
              <w:rPr>
                <w:rtl w:val="0"/>
              </w:rPr>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tcPr>
          <w:p w:rsidR="00000000" w:rsidDel="00000000" w:rsidP="00000000" w:rsidRDefault="00000000" w:rsidRPr="00000000" w14:paraId="0000003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Indexation Criterion</w:t>
            </w:r>
          </w:p>
        </w:tc>
        <w:tc>
          <w:tcPr>
            <w:tcMar>
              <w:top w:w="0.0" w:type="dxa"/>
              <w:left w:w="108.0" w:type="dxa"/>
              <w:bottom w:w="0.0" w:type="dxa"/>
              <w:right w:w="108.0" w:type="dxa"/>
            </w:tcMar>
          </w:tcPr>
          <w:p w:rsidR="00000000" w:rsidDel="00000000" w:rsidP="00000000" w:rsidRDefault="00000000" w:rsidRPr="00000000" w14:paraId="0000003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indexation criterion</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3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9,000,000.00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3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4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180 months</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Variable</w:t>
            </w:r>
          </w:p>
        </w:tc>
        <w:tc>
          <w:tcPr>
            <w:tcMar>
              <w:top w:w="0.0" w:type="dxa"/>
              <w:left w:w="108.0" w:type="dxa"/>
              <w:bottom w:w="0.0" w:type="dxa"/>
              <w:right w:w="108.0" w:type="dxa"/>
            </w:tcMar>
            <w:vAlign w:val="center"/>
          </w:tcPr>
          <w:p w:rsidR="00000000" w:rsidDel="00000000" w:rsidP="00000000" w:rsidRDefault="00000000" w:rsidRPr="00000000" w14:paraId="0000004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7.82% (3.09% + 6M BELIBOR)</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4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45,000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4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Credit Bureau Report Cost</w:t>
            </w:r>
          </w:p>
        </w:tc>
        <w:tc>
          <w:tcPr>
            <w:tcMar>
              <w:top w:w="0.0" w:type="dxa"/>
              <w:left w:w="108.0" w:type="dxa"/>
              <w:bottom w:w="0.0" w:type="dxa"/>
              <w:right w:w="108.0" w:type="dxa"/>
            </w:tcMar>
            <w:vAlign w:val="center"/>
          </w:tcPr>
          <w:p w:rsidR="00000000" w:rsidDel="00000000" w:rsidP="00000000" w:rsidRDefault="00000000" w:rsidRPr="00000000" w14:paraId="0000004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Mortgage Registration Fee</w:t>
            </w:r>
          </w:p>
        </w:tc>
        <w:tc>
          <w:tcPr>
            <w:tcMar>
              <w:top w:w="0.0" w:type="dxa"/>
              <w:left w:w="108.0" w:type="dxa"/>
              <w:bottom w:w="0.0" w:type="dxa"/>
              <w:right w:w="108.0" w:type="dxa"/>
            </w:tcMar>
            <w:vAlign w:val="center"/>
          </w:tcPr>
          <w:p w:rsidR="00000000" w:rsidDel="00000000" w:rsidP="00000000" w:rsidRDefault="00000000" w:rsidRPr="00000000" w14:paraId="0000004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71,140.00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Notarisation of the Mortgage Statement</w:t>
            </w:r>
          </w:p>
        </w:tc>
        <w:tc>
          <w:tcPr>
            <w:tcMar>
              <w:top w:w="0.0" w:type="dxa"/>
              <w:left w:w="108.0" w:type="dxa"/>
              <w:bottom w:w="0.0" w:type="dxa"/>
              <w:right w:w="108.0" w:type="dxa"/>
            </w:tcMar>
            <w:vAlign w:val="center"/>
          </w:tcPr>
          <w:p w:rsidR="00000000" w:rsidDel="00000000" w:rsidP="00000000" w:rsidRDefault="00000000" w:rsidRPr="00000000" w14:paraId="0000004C">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25,920.00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Real Estate Insurance – Annual</w:t>
            </w:r>
          </w:p>
        </w:tc>
        <w:tc>
          <w:tcPr>
            <w:tcMar>
              <w:top w:w="0.0" w:type="dxa"/>
              <w:left w:w="108.0" w:type="dxa"/>
              <w:bottom w:w="0.0" w:type="dxa"/>
              <w:right w:w="108.0" w:type="dxa"/>
            </w:tcMar>
            <w:vAlign w:val="center"/>
          </w:tcPr>
          <w:p w:rsidR="00000000" w:rsidDel="00000000" w:rsidP="00000000" w:rsidRDefault="00000000" w:rsidRPr="00000000" w14:paraId="0000004E">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40.00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4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Issuing the Real Estate Folio</w:t>
            </w:r>
          </w:p>
        </w:tc>
        <w:tc>
          <w:tcPr>
            <w:tcMar>
              <w:top w:w="0.0" w:type="dxa"/>
              <w:left w:w="108.0" w:type="dxa"/>
              <w:bottom w:w="0.0" w:type="dxa"/>
              <w:right w:w="108.0" w:type="dxa"/>
            </w:tcMar>
            <w:vAlign w:val="center"/>
          </w:tcPr>
          <w:p w:rsidR="00000000" w:rsidDel="00000000" w:rsidP="00000000" w:rsidRDefault="00000000" w:rsidRPr="00000000" w14:paraId="00000050">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11.10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Real Estate Valuation</w:t>
            </w:r>
          </w:p>
        </w:tc>
        <w:tc>
          <w:tcPr>
            <w:tcMar>
              <w:top w:w="0.0" w:type="dxa"/>
              <w:left w:w="108.0" w:type="dxa"/>
              <w:bottom w:w="0.0" w:type="dxa"/>
              <w:right w:w="108.0" w:type="dxa"/>
            </w:tcMar>
            <w:vAlign w:val="center"/>
          </w:tcPr>
          <w:p w:rsidR="00000000" w:rsidDel="00000000" w:rsidP="00000000" w:rsidRDefault="00000000" w:rsidRPr="00000000" w14:paraId="00000052">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100.00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Revaluation Cost</w:t>
            </w:r>
          </w:p>
        </w:tc>
        <w:tc>
          <w:tcPr>
            <w:tcMar>
              <w:top w:w="0.0" w:type="dxa"/>
              <w:left w:w="108.0" w:type="dxa"/>
              <w:bottom w:w="0.0" w:type="dxa"/>
              <w:right w:w="108.0" w:type="dxa"/>
            </w:tcMar>
            <w:vAlign w:val="center"/>
          </w:tcPr>
          <w:p w:rsidR="00000000" w:rsidDel="00000000" w:rsidP="00000000" w:rsidRDefault="00000000" w:rsidRPr="00000000" w14:paraId="00000054">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EUR 50.00</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56">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85,085.69</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58">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15,530,372.56</w:t>
            </w:r>
          </w:p>
        </w:tc>
      </w:tr>
      <w:tr>
        <w:trPr>
          <w:cantSplit w:val="0"/>
          <w:tblHeader w:val="0"/>
        </w:trPr>
        <w:tc>
          <w:tcPr>
            <w:tcMar>
              <w:top w:w="0.0" w:type="dxa"/>
              <w:left w:w="108.0" w:type="dxa"/>
              <w:bottom w:w="0.0" w:type="dxa"/>
              <w:right w:w="108.0" w:type="dxa"/>
            </w:tcMar>
          </w:tcPr>
          <w:p w:rsidR="00000000" w:rsidDel="00000000" w:rsidP="00000000" w:rsidRDefault="00000000" w:rsidRPr="00000000" w14:paraId="0000005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5A">
            <w:pPr>
              <w:spacing w:after="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6,530,372.56</w:t>
            </w:r>
          </w:p>
        </w:tc>
      </w:tr>
      <w:tr>
        <w:trPr>
          <w:cantSplit w:val="0"/>
          <w:trHeight w:val="308" w:hRule="atLeast"/>
          <w:tblHeader w:val="0"/>
        </w:trPr>
        <w:tc>
          <w:tcPr>
            <w:tcMar>
              <w:top w:w="0.0" w:type="dxa"/>
              <w:left w:w="108.0" w:type="dxa"/>
              <w:bottom w:w="0.0" w:type="dxa"/>
              <w:right w:w="108.0" w:type="dxa"/>
            </w:tcMar>
          </w:tcPr>
          <w:p w:rsidR="00000000" w:rsidDel="00000000" w:rsidP="00000000" w:rsidRDefault="00000000" w:rsidRPr="00000000" w14:paraId="0000005B">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5C">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8.45%</w:t>
            </w:r>
          </w:p>
        </w:tc>
      </w:tr>
    </w:tbl>
    <w:p w:rsidR="00000000" w:rsidDel="00000000" w:rsidP="00000000" w:rsidRDefault="00000000" w:rsidRPr="00000000" w14:paraId="0000005D">
      <w:pPr>
        <w:spacing w:after="0" w:before="12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*The calculation was made on 21 April 2026. The applied value of 6M BELIBOR amounts to 4.73.</w:t>
      </w:r>
    </w:p>
    <w:p w:rsidR="00000000" w:rsidDel="00000000" w:rsidP="00000000" w:rsidRDefault="00000000" w:rsidRPr="00000000" w14:paraId="0000005E">
      <w:pPr>
        <w:spacing w:after="0" w:before="0" w:line="240" w:lineRule="auto"/>
        <w:ind w:left="-284"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        Notes:</w:t>
      </w:r>
    </w:p>
    <w:p w:rsidR="00000000" w:rsidDel="00000000" w:rsidP="00000000" w:rsidRDefault="00000000" w:rsidRPr="00000000" w14:paraId="0000005F">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The loan is subject to a variable nominal interest rate; therefore, the amount payable may change in the event of changes in the variable element of the interest rate.</w:t>
      </w:r>
    </w:p>
    <w:p w:rsidR="00000000" w:rsidDel="00000000" w:rsidP="00000000" w:rsidRDefault="00000000" w:rsidRPr="00000000" w14:paraId="00000060">
      <w:pPr>
        <w:spacing w:after="0" w:before="0" w:line="240" w:lineRule="auto"/>
        <w:ind w:left="0" w:firstLine="0"/>
        <w:rPr>
          <w:rFonts w:ascii="Arial Narrow" w:cs="Arial Narrow" w:eastAsia="Arial Narrow" w:hAnsi="Arial Narrow"/>
          <w:sz w:val="18"/>
          <w:szCs w:val="18"/>
        </w:rPr>
      </w:pPr>
      <w:r w:rsidDel="00000000" w:rsidR="00000000" w:rsidRPr="00000000">
        <w:rPr>
          <w:rFonts w:ascii="Arial Narrow" w:cs="Arial Narrow" w:eastAsia="Arial Narrow" w:hAnsi="Arial Narrow"/>
          <w:sz w:val="18"/>
          <w:szCs w:val="18"/>
          <w:rtl w:val="0"/>
        </w:rPr>
        <w:t xml:space="preserve">For a specific loan calculation, please contact an employee at the nearest Bank branch.</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rial Narrow" w:cs="Arial Narrow" w:eastAsia="Arial Narrow" w:hAnsi="Arial Narrow"/>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righ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headerReference r:id="rId8" w:type="first"/>
      <w:headerReference r:id="rId9" w:type="even"/>
      <w:pgSz w:h="16838" w:w="11906" w:orient="portrait"/>
      <w:pgMar w:bottom="1417" w:top="1417" w:left="1530"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318135" cy="403225"/>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318135" cy="40322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GsNGcmhH37oPk4FXu/s+bhsA==">CgMxLjA4AHIhMTVoNDM4WHpndjZhd19DRExmRnM2eWhRQi0yTjZORlkx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