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Housing Loan for the Purchase of a First Residential Real Estate Property</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and pensioners with regular monthly income up to RSD 100,000.00. Users who are at least 20 years of age at the time of applying for the loan and no older than 75 years of age at the time of repayment of the final loan annuity.</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Housing Loan</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in dinar equivalent at the NBS middle exchange rate</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EUR 25,000.00 up to 80% of the purchase price of the real estate acquired through the loan or its appraised value (whichever is lower), or the appraised value of the real estate when the mortgage is established over real estate not acquired through the loan, in accordance with the client’s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120 to 360months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20% of the purchase price of the real estate</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4.50% per annum, fixed</w:t>
            </w:r>
          </w:p>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ab/>
              <w:t xml:space="preserve">• 2.49% + 6M EURIBOR, per annum, variable*</w:t>
            </w:r>
          </w:p>
          <w:p w:rsidR="00000000" w:rsidDel="00000000" w:rsidP="00000000" w:rsidRDefault="00000000" w:rsidRPr="00000000" w14:paraId="00000018">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on the agreed adjustment date, the variable interest rate exceeds the interest rate prescribed by the NBS Decision, the Bank shall apply the interest rate prescribed by the NBS Decision during the following calculation period.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 for the real estate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in dinar equivalent at the NBS middle exchange rate on the annuity payment date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269" w:hRule="atLeast"/>
          <w:tblHeader w:val="0"/>
        </w:trPr>
        <w:tc>
          <w:tcP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Two blank own bills of exchange bearing the clause “without protest”, issued by the Borrower together with a bill-of-exchange authorization</w:t>
            </w:r>
          </w:p>
          <w:p w:rsidR="00000000" w:rsidDel="00000000" w:rsidP="00000000" w:rsidRDefault="00000000" w:rsidRPr="00000000" w14:paraId="0000002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First-ranking mortgage over real estate in favour of the Bank, appraised by an authorised appraiser from the Bank’s list of appraisers</w:t>
            </w:r>
          </w:p>
          <w:p w:rsidR="00000000" w:rsidDel="00000000" w:rsidP="00000000" w:rsidRDefault="00000000" w:rsidRPr="00000000" w14:paraId="0000002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Real estate insurance assigned in favour of the Bank with insurance companies</w:t>
            </w:r>
          </w:p>
        </w:tc>
      </w:tr>
      <w:tr>
        <w:trPr>
          <w:cantSplit w:val="0"/>
          <w:trHeight w:val="269" w:hRule="atLeast"/>
          <w:tblHeader w:val="0"/>
        </w:trPr>
        <w:tc>
          <w:tcPr>
            <w:vAlign w:val="center"/>
          </w:tcPr>
          <w:p w:rsidR="00000000" w:rsidDel="00000000" w:rsidP="00000000" w:rsidRDefault="00000000" w:rsidRPr="00000000" w14:paraId="0000002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Up to the amount of actual damage suffered due to early repayment, and not exceeding:</w:t>
            </w:r>
          </w:p>
          <w:p w:rsidR="00000000" w:rsidDel="00000000" w:rsidP="00000000" w:rsidRDefault="00000000" w:rsidRPr="00000000" w14:paraId="0000002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1% of the amount of the early repaid loan, if the period between the early repayment and the scheduled loan repayment date exceeds one year; or</w:t>
            </w:r>
          </w:p>
          <w:p w:rsidR="00000000" w:rsidDel="00000000" w:rsidP="00000000" w:rsidRDefault="00000000" w:rsidRPr="00000000" w14:paraId="0000002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0.5% of the amount of the early repaid loan, if the period between the early repayment and the scheduled loan repayment date is less than one year.</w:t>
            </w:r>
          </w:p>
          <w:p w:rsidR="00000000" w:rsidDel="00000000" w:rsidP="00000000" w:rsidRDefault="00000000" w:rsidRPr="00000000" w14:paraId="0000002C">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Actual damage shall mean the difference between the interest agreed with the Borrower and the average weighted interest rate for this type of loan published by the National Bank of Serbia on its website.</w:t>
            </w:r>
          </w:p>
          <w:p w:rsidR="00000000" w:rsidDel="00000000" w:rsidP="00000000" w:rsidRDefault="00000000" w:rsidRPr="00000000" w14:paraId="0000002E">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Bank shall charge this fee provided that the amount of early repayment within a period of 12 (twelve) months exceeds RSD 1,200,000.</w:t>
            </w:r>
          </w:p>
        </w:tc>
      </w:tr>
      <w:tr>
        <w:trPr>
          <w:cantSplit w:val="0"/>
          <w:trHeight w:val="269" w:hRule="atLeast"/>
          <w:tblHeader w:val="0"/>
        </w:trPr>
        <w:tc>
          <w:tcPr>
            <w:vAlign w:val="center"/>
          </w:tcPr>
          <w:p w:rsidR="00000000" w:rsidDel="00000000" w:rsidP="00000000" w:rsidRDefault="00000000" w:rsidRPr="00000000" w14:paraId="0000003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Due Date of Annuities and Adjustment of Variable NIR to the Value of 6M EURIBOR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 the 5th and 20th day of each month</w:t>
            </w:r>
          </w:p>
          <w:p w:rsidR="00000000" w:rsidDel="00000000" w:rsidP="00000000" w:rsidRDefault="00000000" w:rsidRPr="00000000" w14:paraId="00000032">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Adjustment of the nominal interest rate to the value of 6M EURIBOR shall be performed on 05 January and 05 July or 20 January and 20 July for the following six-month period, depending on whether the loan falls due on the 5th or the 20th day of the month. The adjustment shall be performed according to the officially published 6M EURIBOR values on 20 December and 20 June.</w:t>
            </w:r>
          </w:p>
        </w:tc>
      </w:tr>
      <w:tr>
        <w:trPr>
          <w:cantSplit w:val="0"/>
          <w:trHeight w:val="269" w:hRule="atLeast"/>
          <w:tblHeader w:val="0"/>
        </w:trPr>
        <w:tc>
          <w:tcPr>
            <w:vAlign w:val="center"/>
          </w:tcPr>
          <w:p w:rsidR="00000000" w:rsidDel="00000000" w:rsidP="00000000" w:rsidRDefault="00000000" w:rsidRPr="00000000" w14:paraId="0000003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bl>
    <w:p w:rsidR="00000000" w:rsidDel="00000000" w:rsidP="00000000" w:rsidRDefault="00000000" w:rsidRPr="00000000" w14:paraId="00000036">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sz w:val="18"/>
          <w:szCs w:val="18"/>
        </w:rPr>
      </w:pPr>
      <w:r w:rsidDel="00000000" w:rsidR="00000000" w:rsidRPr="00000000">
        <w:rPr>
          <w:rtl w:val="0"/>
        </w:rPr>
      </w:r>
    </w:p>
    <w:tbl>
      <w:tblPr>
        <w:tblStyle w:val="Table2"/>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39">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FIXED NIR</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Indexation Criterion</w:t>
            </w:r>
          </w:p>
        </w:tc>
        <w:tc>
          <w:tcPr>
            <w:tcMar>
              <w:top w:w="0.0" w:type="dxa"/>
              <w:left w:w="108.0" w:type="dxa"/>
              <w:bottom w:w="0.0" w:type="dxa"/>
              <w:right w:w="108.0" w:type="dxa"/>
            </w:tcMar>
          </w:tcPr>
          <w:p w:rsidR="00000000" w:rsidDel="00000000" w:rsidP="00000000" w:rsidRDefault="00000000" w:rsidRPr="00000000" w14:paraId="0000003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dinar equivalent at the NBS middle exchange rate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80,000.00</w:t>
            </w:r>
          </w:p>
        </w:tc>
      </w:tr>
      <w:tr>
        <w:trPr>
          <w:cantSplit w:val="0"/>
          <w:trHeight w:val="199.49218749999997" w:hRule="atLeast"/>
          <w:tblHeader w:val="0"/>
        </w:trPr>
        <w:tc>
          <w:tcPr>
            <w:tcMar>
              <w:top w:w="0.0" w:type="dxa"/>
              <w:left w:w="108.0" w:type="dxa"/>
              <w:bottom w:w="0.0" w:type="dxa"/>
              <w:right w:w="108.0" w:type="dxa"/>
            </w:tcMar>
          </w:tcPr>
          <w:p w:rsidR="00000000" w:rsidDel="00000000" w:rsidP="00000000" w:rsidRDefault="00000000" w:rsidRPr="00000000" w14:paraId="0000004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360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4.50%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4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4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rHeight w:val="199.49218749999997" w:hRule="atLeast"/>
          <w:tblHeader w:val="0"/>
        </w:trPr>
        <w:tc>
          <w:tcPr>
            <w:tcMar>
              <w:top w:w="0.0" w:type="dxa"/>
              <w:left w:w="108.0" w:type="dxa"/>
              <w:bottom w:w="0.0" w:type="dxa"/>
              <w:right w:w="108.0" w:type="dxa"/>
            </w:tcMar>
          </w:tcPr>
          <w:p w:rsidR="00000000" w:rsidDel="00000000" w:rsidP="00000000" w:rsidRDefault="00000000" w:rsidRPr="00000000" w14:paraId="0000004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Mortgage Registration Fee</w:t>
            </w:r>
          </w:p>
        </w:tc>
        <w:tc>
          <w:tcPr>
            <w:tcMar>
              <w:top w:w="0.0" w:type="dxa"/>
              <w:left w:w="108.0" w:type="dxa"/>
              <w:bottom w:w="0.0" w:type="dxa"/>
              <w:right w:w="108.0" w:type="dxa"/>
            </w:tcMar>
            <w:vAlign w:val="center"/>
          </w:tcPr>
          <w:p w:rsidR="00000000" w:rsidDel="00000000" w:rsidP="00000000" w:rsidRDefault="00000000" w:rsidRPr="00000000" w14:paraId="0000004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71,140.00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Notarisation of the Mortgage Statement</w:t>
            </w:r>
          </w:p>
        </w:tc>
        <w:tc>
          <w:tcPr>
            <w:tcMar>
              <w:top w:w="0.0" w:type="dxa"/>
              <w:left w:w="108.0" w:type="dxa"/>
              <w:bottom w:w="0.0" w:type="dxa"/>
              <w:right w:w="108.0" w:type="dxa"/>
            </w:tcMar>
            <w:vAlign w:val="center"/>
          </w:tcPr>
          <w:p w:rsidR="00000000" w:rsidDel="00000000" w:rsidP="00000000" w:rsidRDefault="00000000" w:rsidRPr="00000000" w14:paraId="0000004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25,920.00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Real Estate Insurance – Annual</w:t>
            </w:r>
          </w:p>
        </w:tc>
        <w:tc>
          <w:tcPr>
            <w:tcMar>
              <w:top w:w="0.0" w:type="dxa"/>
              <w:left w:w="108.0" w:type="dxa"/>
              <w:bottom w:w="0.0" w:type="dxa"/>
              <w:right w:w="108.0" w:type="dxa"/>
            </w:tcMar>
            <w:vAlign w:val="center"/>
          </w:tcPr>
          <w:p w:rsidR="00000000" w:rsidDel="00000000" w:rsidP="00000000" w:rsidRDefault="00000000" w:rsidRPr="00000000" w14:paraId="0000005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Issuing the Real Estate Folio</w:t>
            </w:r>
          </w:p>
        </w:tc>
        <w:tc>
          <w:tcPr>
            <w:tcMar>
              <w:top w:w="0.0" w:type="dxa"/>
              <w:left w:w="108.0" w:type="dxa"/>
              <w:bottom w:w="0.0" w:type="dxa"/>
              <w:right w:w="108.0" w:type="dxa"/>
            </w:tcMar>
            <w:vAlign w:val="center"/>
          </w:tcPr>
          <w:p w:rsidR="00000000" w:rsidDel="00000000" w:rsidP="00000000" w:rsidRDefault="00000000" w:rsidRPr="00000000" w14:paraId="0000005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11.10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Real Estate Valuation</w:t>
            </w:r>
          </w:p>
        </w:tc>
        <w:tc>
          <w:tcPr>
            <w:tcMar>
              <w:top w:w="0.0" w:type="dxa"/>
              <w:left w:w="108.0" w:type="dxa"/>
              <w:bottom w:w="0.0" w:type="dxa"/>
              <w:right w:w="108.0" w:type="dxa"/>
            </w:tcMar>
            <w:vAlign w:val="center"/>
          </w:tcPr>
          <w:p w:rsidR="00000000" w:rsidDel="00000000" w:rsidP="00000000" w:rsidRDefault="00000000" w:rsidRPr="00000000" w14:paraId="0000005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Revaluation Cost</w:t>
            </w:r>
          </w:p>
        </w:tc>
        <w:tc>
          <w:tcPr>
            <w:tcMar>
              <w:top w:w="0.0" w:type="dxa"/>
              <w:left w:w="108.0" w:type="dxa"/>
              <w:bottom w:w="0.0" w:type="dxa"/>
              <w:right w:w="108.0" w:type="dxa"/>
            </w:tcMar>
            <w:vAlign w:val="center"/>
          </w:tcPr>
          <w:p w:rsidR="00000000" w:rsidDel="00000000" w:rsidP="00000000" w:rsidRDefault="00000000" w:rsidRPr="00000000" w14:paraId="0000005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5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405.37</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5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148,617.53</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5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68,617.53</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5D">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E">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4.80%</w:t>
            </w:r>
          </w:p>
        </w:tc>
      </w:tr>
    </w:tbl>
    <w:p w:rsidR="00000000" w:rsidDel="00000000" w:rsidP="00000000" w:rsidRDefault="00000000" w:rsidRPr="00000000" w14:paraId="0000005F">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21 April 2026.</w:t>
      </w:r>
    </w:p>
    <w:p w:rsidR="00000000" w:rsidDel="00000000" w:rsidP="00000000" w:rsidRDefault="00000000" w:rsidRPr="00000000" w14:paraId="00000060">
      <w:pPr>
        <w:spacing w:after="0" w:before="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Notes:</w:t>
      </w:r>
    </w:p>
    <w:p w:rsidR="00000000" w:rsidDel="00000000" w:rsidP="00000000" w:rsidRDefault="00000000" w:rsidRPr="00000000" w14:paraId="00000061">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currency clause; therefore, the amount payable in dinars each month may change in the event of exchange rate fluctuations.</w:t>
      </w:r>
    </w:p>
    <w:p w:rsidR="00000000" w:rsidDel="00000000" w:rsidP="00000000" w:rsidRDefault="00000000" w:rsidRPr="00000000" w14:paraId="00000062">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a specific loan calculation, please contact an employee at the nearest Bank branch.</w:t>
      </w:r>
    </w:p>
    <w:p w:rsidR="00000000" w:rsidDel="00000000" w:rsidP="00000000" w:rsidRDefault="00000000" w:rsidRPr="00000000" w14:paraId="00000063">
      <w:pPr>
        <w:spacing w:after="0" w:before="0" w:line="240" w:lineRule="auto"/>
        <w:ind w:left="0"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rPr>
          <w:rFonts w:ascii="Arial Narrow" w:cs="Arial Narrow" w:eastAsia="Arial Narrow" w:hAnsi="Arial Narrow"/>
          <w:sz w:val="18"/>
          <w:szCs w:val="18"/>
        </w:rPr>
      </w:pPr>
      <w:r w:rsidDel="00000000" w:rsidR="00000000" w:rsidRPr="00000000">
        <w:rPr>
          <w:rtl w:val="0"/>
        </w:rPr>
      </w:r>
    </w:p>
    <w:tbl>
      <w:tblPr>
        <w:tblStyle w:val="Table3"/>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VARIABLE NIR</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6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6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6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Indexation Criterion</w:t>
            </w:r>
          </w:p>
        </w:tc>
        <w:tc>
          <w:tcPr>
            <w:tcMar>
              <w:top w:w="0.0" w:type="dxa"/>
              <w:left w:w="108.0" w:type="dxa"/>
              <w:bottom w:w="0.0" w:type="dxa"/>
              <w:right w:w="108.0" w:type="dxa"/>
            </w:tcMar>
          </w:tcPr>
          <w:p w:rsidR="00000000" w:rsidDel="00000000" w:rsidP="00000000" w:rsidRDefault="00000000" w:rsidRPr="00000000" w14:paraId="0000006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dinar equivalent at the NBS middle exchange rate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6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6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80,000.00</w:t>
            </w:r>
          </w:p>
        </w:tc>
      </w:tr>
      <w:tr>
        <w:trPr>
          <w:cantSplit w:val="0"/>
          <w:trHeight w:val="199.49218749999997" w:hRule="atLeast"/>
          <w:tblHeader w:val="0"/>
        </w:trPr>
        <w:tc>
          <w:tcPr>
            <w:tcMar>
              <w:top w:w="0.0" w:type="dxa"/>
              <w:left w:w="108.0" w:type="dxa"/>
              <w:bottom w:w="0.0" w:type="dxa"/>
              <w:right w:w="108.0" w:type="dxa"/>
            </w:tcMar>
          </w:tcPr>
          <w:p w:rsidR="00000000" w:rsidDel="00000000" w:rsidP="00000000" w:rsidRDefault="00000000" w:rsidRPr="00000000" w14:paraId="0000006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6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360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6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Variable</w:t>
            </w:r>
          </w:p>
        </w:tc>
        <w:tc>
          <w:tcPr>
            <w:tcMar>
              <w:top w:w="0.0" w:type="dxa"/>
              <w:left w:w="108.0" w:type="dxa"/>
              <w:bottom w:w="0.0" w:type="dxa"/>
              <w:right w:w="108.0" w:type="dxa"/>
            </w:tcMar>
            <w:vAlign w:val="center"/>
          </w:tcPr>
          <w:p w:rsidR="00000000" w:rsidDel="00000000" w:rsidP="00000000" w:rsidRDefault="00000000" w:rsidRPr="00000000" w14:paraId="0000007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4.62% (2.49% + 6M EURIBOR)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7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7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7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rHeight w:val="199.49218749999997" w:hRule="atLeast"/>
          <w:tblHeader w:val="0"/>
        </w:trPr>
        <w:tc>
          <w:tcPr>
            <w:tcMar>
              <w:top w:w="0.0" w:type="dxa"/>
              <w:left w:w="108.0" w:type="dxa"/>
              <w:bottom w:w="0.0" w:type="dxa"/>
              <w:right w:w="108.0" w:type="dxa"/>
            </w:tcMar>
          </w:tcPr>
          <w:p w:rsidR="00000000" w:rsidDel="00000000" w:rsidP="00000000" w:rsidRDefault="00000000" w:rsidRPr="00000000" w14:paraId="0000007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Mortgage Registration Fee</w:t>
            </w:r>
          </w:p>
        </w:tc>
        <w:tc>
          <w:tcPr>
            <w:tcMar>
              <w:top w:w="0.0" w:type="dxa"/>
              <w:left w:w="108.0" w:type="dxa"/>
              <w:bottom w:w="0.0" w:type="dxa"/>
              <w:right w:w="108.0" w:type="dxa"/>
            </w:tcMar>
            <w:vAlign w:val="center"/>
          </w:tcPr>
          <w:p w:rsidR="00000000" w:rsidDel="00000000" w:rsidP="00000000" w:rsidRDefault="00000000" w:rsidRPr="00000000" w14:paraId="0000007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71,140.00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Notarisation of the Mortgage Statement</w:t>
            </w:r>
          </w:p>
        </w:tc>
        <w:tc>
          <w:tcPr>
            <w:tcMar>
              <w:top w:w="0.0" w:type="dxa"/>
              <w:left w:w="108.0" w:type="dxa"/>
              <w:bottom w:w="0.0" w:type="dxa"/>
              <w:right w:w="108.0" w:type="dxa"/>
            </w:tcMar>
            <w:vAlign w:val="center"/>
          </w:tcPr>
          <w:p w:rsidR="00000000" w:rsidDel="00000000" w:rsidP="00000000" w:rsidRDefault="00000000" w:rsidRPr="00000000" w14:paraId="0000007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25,920.00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Real Estate Insurance – Annual</w:t>
            </w:r>
          </w:p>
        </w:tc>
        <w:tc>
          <w:tcPr>
            <w:tcMar>
              <w:top w:w="0.0" w:type="dxa"/>
              <w:left w:w="108.0" w:type="dxa"/>
              <w:bottom w:w="0.0" w:type="dxa"/>
              <w:right w:w="108.0" w:type="dxa"/>
            </w:tcMar>
            <w:vAlign w:val="center"/>
          </w:tcPr>
          <w:p w:rsidR="00000000" w:rsidDel="00000000" w:rsidP="00000000" w:rsidRDefault="00000000" w:rsidRPr="00000000" w14:paraId="0000007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Issuing the Real Estate Folio</w:t>
            </w:r>
          </w:p>
        </w:tc>
        <w:tc>
          <w:tcPr>
            <w:tcMar>
              <w:top w:w="0.0" w:type="dxa"/>
              <w:left w:w="108.0" w:type="dxa"/>
              <w:bottom w:w="0.0" w:type="dxa"/>
              <w:right w:w="108.0" w:type="dxa"/>
            </w:tcMar>
            <w:vAlign w:val="center"/>
          </w:tcPr>
          <w:p w:rsidR="00000000" w:rsidDel="00000000" w:rsidP="00000000" w:rsidRDefault="00000000" w:rsidRPr="00000000" w14:paraId="0000007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11.10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Real Estate Valuation</w:t>
            </w:r>
          </w:p>
        </w:tc>
        <w:tc>
          <w:tcPr>
            <w:tcMar>
              <w:top w:w="0.0" w:type="dxa"/>
              <w:left w:w="108.0" w:type="dxa"/>
              <w:bottom w:w="0.0" w:type="dxa"/>
              <w:right w:w="108.0" w:type="dxa"/>
            </w:tcMar>
            <w:vAlign w:val="center"/>
          </w:tcPr>
          <w:p w:rsidR="00000000" w:rsidDel="00000000" w:rsidP="00000000" w:rsidRDefault="00000000" w:rsidRPr="00000000" w14:paraId="0000008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Revaluation Cost</w:t>
            </w:r>
          </w:p>
        </w:tc>
        <w:tc>
          <w:tcPr>
            <w:tcMar>
              <w:top w:w="0.0" w:type="dxa"/>
              <w:left w:w="108.0" w:type="dxa"/>
              <w:bottom w:w="0.0" w:type="dxa"/>
              <w:right w:w="108.0" w:type="dxa"/>
            </w:tcMar>
            <w:vAlign w:val="center"/>
          </w:tcPr>
          <w:p w:rsidR="00000000" w:rsidDel="00000000" w:rsidP="00000000" w:rsidRDefault="00000000" w:rsidRPr="00000000" w14:paraId="0000008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8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411.29</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8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150,745.99</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8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70,745.99</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89">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8A">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4.93%</w:t>
            </w:r>
          </w:p>
        </w:tc>
      </w:tr>
    </w:tbl>
    <w:p w:rsidR="00000000" w:rsidDel="00000000" w:rsidP="00000000" w:rsidRDefault="00000000" w:rsidRPr="00000000" w14:paraId="0000008B">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21 April 2026. The applied value of 6M EURIBOR amounts to 2.134.</w:t>
      </w:r>
    </w:p>
    <w:p w:rsidR="00000000" w:rsidDel="00000000" w:rsidP="00000000" w:rsidRDefault="00000000" w:rsidRPr="00000000" w14:paraId="0000008C">
      <w:pPr>
        <w:spacing w:after="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Notes:</w:t>
      </w:r>
    </w:p>
    <w:p w:rsidR="00000000" w:rsidDel="00000000" w:rsidP="00000000" w:rsidRDefault="00000000" w:rsidRPr="00000000" w14:paraId="0000008D">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currency clause; therefore, the amount payable in dinars each month may change in the event of exchange rate fluctuations.</w:t>
      </w:r>
    </w:p>
    <w:p w:rsidR="00000000" w:rsidDel="00000000" w:rsidP="00000000" w:rsidRDefault="00000000" w:rsidRPr="00000000" w14:paraId="0000008E">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variable nominal interest rate; therefore, the amount payable may change in the event of changes in the variable element of the interest rate.</w:t>
      </w:r>
    </w:p>
    <w:p w:rsidR="00000000" w:rsidDel="00000000" w:rsidP="00000000" w:rsidRDefault="00000000" w:rsidRPr="00000000" w14:paraId="0000008F">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a specific loan calculation, please contact an employee at the nearest Bank branch.</w:t>
      </w:r>
    </w:p>
    <w:p w:rsidR="00000000" w:rsidDel="00000000" w:rsidP="00000000" w:rsidRDefault="00000000" w:rsidRPr="00000000" w14:paraId="00000090">
      <w:pPr>
        <w:spacing w:after="0" w:before="0" w:line="240" w:lineRule="auto"/>
        <w:ind w:left="0"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pgSz w:h="16838" w:w="11906" w:orient="portrait"/>
      <w:pgMar w:bottom="1417" w:top="1417" w:left="153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46710" cy="431800"/>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46710" cy="431800"/>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46710" cy="431800"/>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46710" cy="431800"/>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46710" cy="431800"/>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46710" cy="4318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46710" cy="431800"/>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46710" cy="431800"/>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46710" cy="4318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7J0Bhwg2u/uJP22f/j5wEaXiw==">CgMxLjA4AHIhMVZGWmtjbkFOd04tY21Qa1NLSHlpMzVHcFQxcVp4c0xJ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