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firstLine="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APPROVAL TERMS AND REPRESENTATIVE EXAMPLE</w:t>
      </w:r>
    </w:p>
    <w:p w:rsidR="00000000" w:rsidDel="00000000" w:rsidP="00000000" w:rsidRDefault="00000000" w:rsidRPr="00000000" w14:paraId="00000002">
      <w:pPr>
        <w:spacing w:after="0" w:lineRule="auto"/>
        <w:jc w:val="center"/>
        <w:rPr>
          <w:rFonts w:ascii="Arial Narrow" w:cs="Arial Narrow" w:eastAsia="Arial Narrow" w:hAnsi="Arial Narrow"/>
          <w:b w:val="1"/>
          <w:bCs w:val="1"/>
          <w:color w:val="c00000"/>
          <w:sz w:val="28"/>
          <w:szCs w:val="28"/>
        </w:rPr>
      </w:pPr>
      <w:r w:rsidDel="00000000" w:rsidR="00000000" w:rsidRPr="00000000">
        <w:rPr>
          <w:rFonts w:ascii="Arial Narrow" w:cs="Arial Narrow" w:eastAsia="Arial Narrow" w:hAnsi="Arial Narrow"/>
          <w:b w:val="1"/>
          <w:bCs w:val="1"/>
          <w:color w:val="c00000"/>
          <w:sz w:val="28"/>
          <w:szCs w:val="28"/>
          <w:rtl w:val="0"/>
        </w:rPr>
        <w:t xml:space="preserve">Consumer Loan</w:t>
      </w:r>
    </w:p>
    <w:p w:rsidR="00000000" w:rsidDel="00000000" w:rsidP="00000000" w:rsidRDefault="00000000" w:rsidRPr="00000000" w14:paraId="00000003">
      <w:pPr>
        <w:jc w:val="center"/>
        <w:rPr>
          <w:rFonts w:ascii="Arial Narrow" w:cs="Arial Narrow" w:eastAsia="Arial Narrow" w:hAnsi="Arial Narrow"/>
          <w:b w:val="1"/>
          <w:bCs w:val="1"/>
          <w:color w:val="c00000"/>
          <w:sz w:val="28"/>
          <w:szCs w:val="28"/>
        </w:rPr>
      </w:pPr>
      <w:r w:rsidDel="00000000" w:rsidR="00000000" w:rsidRPr="00000000">
        <w:rPr>
          <w:rtl w:val="0"/>
        </w:rPr>
      </w:r>
    </w:p>
    <w:tbl>
      <w:tblPr>
        <w:tblStyle w:val="Table1"/>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544"/>
        <w:gridCol w:w="5528"/>
        <w:tblGridChange w:id="0">
          <w:tblGrid>
            <w:gridCol w:w="3544"/>
            <w:gridCol w:w="5528"/>
          </w:tblGrid>
        </w:tblGridChange>
      </w:tblGrid>
      <w:tr>
        <w:trPr>
          <w:cantSplit w:val="0"/>
          <w:trHeight w:val="294"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4">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Users who are at least 20 years of age at the time of applying for the loan and no older than 75 years of age at the time of repayment of the final loan annuity.</w:t>
            </w:r>
            <w:r w:rsidDel="00000000" w:rsidR="00000000" w:rsidRPr="00000000">
              <w:rPr>
                <w:rtl w:val="0"/>
              </w:rPr>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Consumer</w:t>
            </w:r>
            <w:r w:rsidDel="00000000" w:rsidR="00000000" w:rsidRPr="00000000">
              <w:rPr>
                <w:rFonts w:ascii="Arial Narrow" w:cs="Arial Narrow" w:eastAsia="Arial Narrow" w:hAnsi="Arial Narrow"/>
                <w:sz w:val="20"/>
                <w:szCs w:val="20"/>
                <w:rtl w:val="0"/>
              </w:rPr>
              <w:t xml:space="preserve"> Loan</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r w:rsidDel="00000000" w:rsidR="00000000" w:rsidRPr="00000000">
              <w:rPr>
                <w:rtl w:val="0"/>
              </w:rPr>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2,500,000.00, in accordance with the value of the pro forma invoice and the Borrower’s creditworthiness</w:t>
            </w:r>
            <w:r w:rsidDel="00000000" w:rsidR="00000000" w:rsidRPr="00000000">
              <w:rPr>
                <w:rtl w:val="0"/>
              </w:rPr>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r w:rsidDel="00000000" w:rsidR="00000000" w:rsidRPr="00000000">
              <w:rPr>
                <w:rtl w:val="0"/>
              </w:rPr>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 per annum, fixed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 salary transfer – 8.20% – 8.75%</w:t>
            </w:r>
          </w:p>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 – 8.75% – 12.95%</w:t>
            </w:r>
            <w:r w:rsidDel="00000000" w:rsidR="00000000" w:rsidRPr="00000000">
              <w:rPr>
                <w:rtl w:val="0"/>
              </w:rPr>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w:t>
            </w:r>
            <w:r w:rsidDel="00000000" w:rsidR="00000000" w:rsidRPr="00000000">
              <w:rPr>
                <w:rFonts w:ascii="Arial Narrow" w:cs="Arial Narrow" w:eastAsia="Arial Narrow" w:hAnsi="Arial Narrow"/>
                <w:sz w:val="20"/>
                <w:szCs w:val="20"/>
                <w:rtl w:val="0"/>
              </w:rPr>
              <w:t xml:space="preserve">o fee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 for goods and services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2">
            <w:pPr>
              <w:spacing w:after="0" w:line="240" w:lineRule="auto"/>
              <w:ind w:lef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w:t>
            </w:r>
            <w:r w:rsidDel="00000000" w:rsidR="00000000" w:rsidRPr="00000000">
              <w:rPr>
                <w:rtl w:val="0"/>
              </w:rPr>
            </w:r>
          </w:p>
        </w:tc>
      </w:tr>
      <w:tr>
        <w:trPr>
          <w:cantSplit w:val="0"/>
          <w:trHeight w:val="192" w:hRule="atLeast"/>
          <w:tblHeader w:val="0"/>
        </w:trPr>
        <w:tc>
          <w:tcPr>
            <w:vAlign w:val="center"/>
          </w:tcPr>
          <w:p w:rsidR="00000000" w:rsidDel="00000000" w:rsidP="00000000" w:rsidRDefault="00000000" w:rsidRPr="00000000" w14:paraId="00000023">
            <w:pPr>
              <w:spacing w:after="0" w:line="240" w:lineRule="auto"/>
              <w:ind w:left="426"/>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bl>
    <w:p w:rsidR="00000000" w:rsidDel="00000000" w:rsidP="00000000" w:rsidRDefault="00000000" w:rsidRPr="00000000" w14:paraId="00000025">
      <w:pPr>
        <w:spacing w:after="0" w:before="120" w:line="240" w:lineRule="auto"/>
        <w:rPr>
          <w:rFonts w:ascii="Arial Narrow" w:cs="Arial Narrow" w:eastAsia="Arial Narrow" w:hAnsi="Arial Narrow"/>
          <w:sz w:val="18"/>
          <w:szCs w:val="18"/>
        </w:rPr>
      </w:pPr>
      <w:r w:rsidDel="00000000" w:rsidR="00000000" w:rsidRPr="00000000">
        <w:rPr>
          <w:rtl w:val="0"/>
        </w:rPr>
      </w:r>
    </w:p>
    <w:tbl>
      <w:tblPr>
        <w:tblStyle w:val="Table2"/>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4820"/>
        <w:gridCol w:w="2268"/>
        <w:gridCol w:w="1984"/>
        <w:tblGridChange w:id="0">
          <w:tblGrid>
            <w:gridCol w:w="4820"/>
            <w:gridCol w:w="2268"/>
            <w:gridCol w:w="1984"/>
          </w:tblGrid>
        </w:tblGridChange>
      </w:tblGrid>
      <w:tr>
        <w:trPr>
          <w:cantSplit w:val="0"/>
          <w:trHeight w:val="304" w:hRule="atLeast"/>
          <w:tblHeader w:val="0"/>
        </w:trPr>
        <w:tc>
          <w:tcPr>
            <w:gridSpan w:val="3"/>
            <w:shd w:fill="c00000" w:val="clear"/>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rFonts w:ascii="Arial Narrow" w:cs="Arial Narrow" w:eastAsia="Arial Narrow" w:hAnsi="Arial Narrow"/>
                <w:b w:val="1"/>
                <w:bCs w:val="1"/>
                <w:color w:val="ffffff"/>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FIXED NIR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2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C">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2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F">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30">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2">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Client Type</w:t>
            </w:r>
          </w:p>
        </w:tc>
        <w:tc>
          <w:tcPr>
            <w:tcMar>
              <w:top w:w="0.0" w:type="dxa"/>
              <w:left w:w="108.0" w:type="dxa"/>
              <w:bottom w:w="0.0" w:type="dxa"/>
              <w:right w:w="108.0" w:type="dxa"/>
            </w:tcMar>
            <w:vAlign w:val="center"/>
          </w:tcPr>
          <w:p w:rsidR="00000000" w:rsidDel="00000000" w:rsidP="00000000" w:rsidRDefault="00000000" w:rsidRPr="00000000" w14:paraId="00000033">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 Salary Transfer</w:t>
            </w:r>
          </w:p>
        </w:tc>
        <w:tc>
          <w:tcPr>
            <w:vAlign w:val="center"/>
          </w:tcPr>
          <w:p w:rsidR="00000000" w:rsidDel="00000000" w:rsidP="00000000" w:rsidRDefault="00000000" w:rsidRPr="00000000" w14:paraId="0000003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5">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36">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8.20%</w:t>
            </w:r>
          </w:p>
        </w:tc>
        <w:tc>
          <w:tcPr>
            <w:vAlign w:val="center"/>
          </w:tcPr>
          <w:p w:rsidR="00000000" w:rsidDel="00000000" w:rsidP="00000000" w:rsidRDefault="00000000" w:rsidRPr="00000000" w14:paraId="0000003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8.75%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8">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39">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c>
          <w:tcPr>
            <w:vAlign w:val="center"/>
          </w:tcPr>
          <w:p w:rsidR="00000000" w:rsidDel="00000000" w:rsidP="00000000" w:rsidRDefault="00000000" w:rsidRPr="00000000" w14:paraId="0000003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3C">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c>
          <w:tcPr>
            <w:vAlign w:val="center"/>
          </w:tcPr>
          <w:p w:rsidR="00000000" w:rsidDel="00000000" w:rsidP="00000000" w:rsidRDefault="00000000" w:rsidRPr="00000000" w14:paraId="0000003E">
            <w:pPr>
              <w:spacing w:after="0" w:line="276"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rHeight w:val="248.91601562500003" w:hRule="atLeast"/>
          <w:tblHeader w:val="0"/>
        </w:trPr>
        <w:tc>
          <w:tcPr>
            <w:tcMar>
              <w:top w:w="0.0" w:type="dxa"/>
              <w:left w:w="108.0" w:type="dxa"/>
              <w:bottom w:w="0.0" w:type="dxa"/>
              <w:right w:w="108.0" w:type="dxa"/>
            </w:tcMar>
            <w:vAlign w:val="center"/>
          </w:tcPr>
          <w:p w:rsidR="00000000" w:rsidDel="00000000" w:rsidP="00000000" w:rsidRDefault="00000000" w:rsidRPr="00000000" w14:paraId="00000040">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41">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c>
          <w:tcPr>
            <w:vAlign w:val="center"/>
          </w:tcPr>
          <w:p w:rsidR="00000000" w:rsidDel="00000000" w:rsidP="00000000" w:rsidRDefault="00000000" w:rsidRPr="00000000" w14:paraId="0000004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17,827.36</w:t>
            </w:r>
          </w:p>
        </w:tc>
        <w:tc>
          <w:tcPr>
            <w:vAlign w:val="center"/>
          </w:tcPr>
          <w:p w:rsidR="00000000" w:rsidDel="00000000" w:rsidP="00000000" w:rsidRDefault="00000000" w:rsidRPr="00000000" w14:paraId="0000004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18,097.85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6">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4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1,266,088.64</w:t>
            </w:r>
          </w:p>
        </w:tc>
        <w:tc>
          <w:tcPr>
            <w:vAlign w:val="center"/>
          </w:tcPr>
          <w:p w:rsidR="00000000" w:rsidDel="00000000" w:rsidP="00000000" w:rsidRDefault="00000000" w:rsidRPr="00000000" w14:paraId="0000004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1,285,293.64</w:t>
            </w:r>
          </w:p>
        </w:tc>
      </w:tr>
      <w:tr>
        <w:trPr>
          <w:cantSplit w:val="0"/>
          <w:trHeight w:val="288" w:hRule="atLeast"/>
          <w:tblHeader w:val="0"/>
        </w:trPr>
        <w:tc>
          <w:tcPr>
            <w:tcMar>
              <w:top w:w="0.0" w:type="dxa"/>
              <w:left w:w="108.0" w:type="dxa"/>
              <w:bottom w:w="0.0" w:type="dxa"/>
              <w:right w:w="108.0" w:type="dxa"/>
            </w:tcMar>
            <w:vAlign w:val="center"/>
          </w:tcPr>
          <w:p w:rsidR="00000000" w:rsidDel="00000000" w:rsidP="00000000" w:rsidRDefault="00000000" w:rsidRPr="00000000" w14:paraId="0000004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266,088.64</w:t>
            </w:r>
          </w:p>
        </w:tc>
        <w:tc>
          <w:tcPr>
            <w:vAlign w:val="center"/>
          </w:tcPr>
          <w:p w:rsidR="00000000" w:rsidDel="00000000" w:rsidP="00000000" w:rsidRDefault="00000000" w:rsidRPr="00000000" w14:paraId="0000004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285,293.64</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4C">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4D">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8.56%</w:t>
            </w:r>
          </w:p>
        </w:tc>
        <w:tc>
          <w:tcPr>
            <w:vAlign w:val="center"/>
          </w:tcPr>
          <w:p w:rsidR="00000000" w:rsidDel="00000000" w:rsidP="00000000" w:rsidRDefault="00000000" w:rsidRPr="00000000" w14:paraId="0000004E">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9.15%</w:t>
            </w:r>
          </w:p>
        </w:tc>
      </w:tr>
    </w:tbl>
    <w:p w:rsidR="00000000" w:rsidDel="00000000" w:rsidP="00000000" w:rsidRDefault="00000000" w:rsidRPr="00000000" w14:paraId="0000004F">
      <w:pPr>
        <w:spacing w:after="0" w:before="12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calculation was made on 30 April 2026. Specific lending terms depend on the Bank’s client category. For a specific loan calculation, please contact an employee at the nearest Bank branch.</w:t>
      </w:r>
    </w:p>
    <w:p w:rsidR="00000000" w:rsidDel="00000000" w:rsidP="00000000" w:rsidRDefault="00000000" w:rsidRPr="00000000" w14:paraId="00000050">
      <w:pPr>
        <w:spacing w:after="0" w:before="120" w:line="240" w:lineRule="auto"/>
        <w:rPr>
          <w:rFonts w:ascii="Arial Narrow" w:cs="Arial Narrow" w:eastAsia="Arial Narrow" w:hAnsi="Arial Narrow"/>
          <w:b w:val="1"/>
          <w:bCs w:val="1"/>
          <w:sz w:val="28"/>
          <w:szCs w:val="28"/>
        </w:rPr>
      </w:pPr>
      <w:r w:rsidDel="00000000" w:rsidR="00000000" w:rsidRPr="00000000">
        <w:rPr>
          <w:rtl w:val="0"/>
        </w:rPr>
      </w:r>
    </w:p>
    <w:sectPr>
      <w:headerReference r:id="rId7" w:type="default"/>
      <w:headerReference r:id="rId8" w:type="first"/>
      <w:head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YEu8TjAL83NyoGNd19nWFhWqw==">CgMxLjA4AHIhMVBsbDRONEdnMXNkV29URktZMUtCVjhkM0RQOS01NmxT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