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Cash Loan and Refinancing Loan with Payment Protection Insurance (CPI Insurance) for Customers with Income up to RSD 100,000 </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up to RSD 100,000.00 and a minimum of 6 months with the current employer with regular monthly income. Users who are at least 20 years of age at the time of applying for the loan and a maximum of 64 years of age at the time of conclusion of the loan agreement, whereby the expiry of the insurance period/loan agreement may not occur after the insured/client reaches 70 years of age.</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Cash Loan and Refinancing Loan with CPI Insurance Policy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1,000,000.00, in accordance with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6.95% per annum, fixed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client’s current account / according to the debt balance confirmation issued by the commercial bank whose loan is being refinanced. All of the user's loan liabilities may be subject to refinancing.</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 and a CPI insurance policy</w:t>
            </w:r>
          </w:p>
        </w:tc>
      </w:tr>
      <w:tr>
        <w:trPr>
          <w:cantSplit w:val="0"/>
          <w:trHeight w:val="269" w:hRule="atLeast"/>
          <w:tblHeader w:val="0"/>
        </w:trPr>
        <w:tc>
          <w:tcP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69" w:hRule="atLeast"/>
          <w:tblHeader w:val="0"/>
        </w:trPr>
        <w:tc>
          <w:tcP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27">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2A">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2D">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F">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31">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33">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6.95%</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35">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37">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39">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CPI Insurance Premium (one-time payment)</w:t>
            </w:r>
          </w:p>
        </w:tc>
        <w:tc>
          <w:tcPr>
            <w:tcMar>
              <w:top w:w="0.0" w:type="dxa"/>
              <w:left w:w="108.0" w:type="dxa"/>
              <w:bottom w:w="0.0" w:type="dxa"/>
              <w:right w:w="108.0" w:type="dxa"/>
            </w:tcMar>
            <w:vAlign w:val="center"/>
          </w:tcPr>
          <w:p w:rsidR="00000000" w:rsidDel="00000000" w:rsidP="00000000" w:rsidRDefault="00000000" w:rsidRPr="00000000" w14:paraId="0000003B">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41,386.00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3D">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17,221.59</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3F">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1,264,464.58</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41">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264,464.58</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42">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43">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8.86%</w:t>
            </w:r>
          </w:p>
        </w:tc>
      </w:tr>
    </w:tbl>
    <w:p w:rsidR="00000000" w:rsidDel="00000000" w:rsidP="00000000" w:rsidRDefault="00000000" w:rsidRPr="00000000" w14:paraId="00000044">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30 April 2026.</w:t>
      </w:r>
    </w:p>
    <w:p w:rsidR="00000000" w:rsidDel="00000000" w:rsidP="00000000" w:rsidRDefault="00000000" w:rsidRPr="00000000" w14:paraId="00000045">
      <w:pPr>
        <w:spacing w:after="0" w:before="120" w:line="240" w:lineRule="auto"/>
        <w:ind w:left="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spacing w:after="0" w:lineRule="auto"/>
        <w:ind w:left="720" w:firstLine="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APPROVAL TERMS AND REPRESENTATIVE EXAMPLE</w:t>
      </w:r>
    </w:p>
    <w:p w:rsidR="00000000" w:rsidDel="00000000" w:rsidP="00000000" w:rsidRDefault="00000000" w:rsidRPr="00000000" w14:paraId="00000047">
      <w:pPr>
        <w:spacing w:after="0" w:lineRule="auto"/>
        <w:ind w:left="720" w:firstLine="0"/>
        <w:jc w:val="center"/>
        <w:rPr>
          <w:rFonts w:ascii="Arial Narrow" w:cs="Arial Narrow" w:eastAsia="Arial Narrow" w:hAnsi="Arial Narrow"/>
          <w:b w:val="1"/>
          <w:bCs w:val="1"/>
          <w:color w:val="c00000"/>
          <w:sz w:val="28"/>
          <w:szCs w:val="28"/>
        </w:rPr>
      </w:pPr>
      <w:r w:rsidDel="00000000" w:rsidR="00000000" w:rsidRPr="00000000">
        <w:rPr>
          <w:rFonts w:ascii="Arial Narrow" w:cs="Arial Narrow" w:eastAsia="Arial Narrow" w:hAnsi="Arial Narrow"/>
          <w:b w:val="1"/>
          <w:bCs w:val="1"/>
          <w:color w:val="c00000"/>
          <w:sz w:val="28"/>
          <w:szCs w:val="28"/>
          <w:rtl w:val="0"/>
        </w:rPr>
        <w:t xml:space="preserve">Cash Loan and Refinancing Loan for Customers with Income up to RSD 100,000 </w:t>
      </w:r>
    </w:p>
    <w:p w:rsidR="00000000" w:rsidDel="00000000" w:rsidP="00000000" w:rsidRDefault="00000000" w:rsidRPr="00000000" w14:paraId="00000048">
      <w:pPr>
        <w:rPr>
          <w:rFonts w:ascii="Arial Narrow" w:cs="Arial Narrow" w:eastAsia="Arial Narrow" w:hAnsi="Arial Narrow"/>
          <w:sz w:val="20"/>
          <w:szCs w:val="20"/>
        </w:rPr>
      </w:pPr>
      <w:r w:rsidDel="00000000" w:rsidR="00000000" w:rsidRPr="00000000">
        <w:rPr>
          <w:rtl w:val="0"/>
        </w:rPr>
      </w:r>
    </w:p>
    <w:tbl>
      <w:tblPr>
        <w:tblStyle w:val="Table3"/>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49">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4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4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up to RSD 100,000.00. Users who are at least 20 years of age at the time of applying for the loan and no older than 75 years of age at the time of repayment of the final loan annuity.</w:t>
            </w:r>
            <w:r w:rsidDel="00000000" w:rsidR="00000000" w:rsidRPr="00000000">
              <w:rPr>
                <w:rtl w:val="0"/>
              </w:rPr>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4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4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Cash Loan and Refinancing Loan </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4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5,000,000.00, in accordance with the Borrower’s creditworthiness</w:t>
            </w:r>
            <w:r w:rsidDel="00000000" w:rsidR="00000000" w:rsidRPr="00000000">
              <w:rPr>
                <w:rtl w:val="0"/>
              </w:rPr>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w:t>
            </w:r>
            <w:r w:rsidDel="00000000" w:rsidR="00000000" w:rsidRPr="00000000">
              <w:rPr>
                <w:rFonts w:ascii="Arial Narrow" w:cs="Arial Narrow" w:eastAsia="Arial Narrow" w:hAnsi="Arial Narrow"/>
                <w:sz w:val="20"/>
                <w:szCs w:val="20"/>
                <w:rtl w:val="0"/>
              </w:rPr>
              <w:t xml:space="preserve">% per annum, fixed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client’s current account / according to the debt balance confirmation issued by the commercial bank whose loan is being refinanced. All of the user's loan liabilities may be subject to refinancing.</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6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 </w:t>
            </w:r>
          </w:p>
        </w:tc>
      </w:tr>
      <w:tr>
        <w:trPr>
          <w:cantSplit w:val="0"/>
          <w:trHeight w:val="269" w:hRule="atLeast"/>
          <w:tblHeader w:val="0"/>
        </w:trPr>
        <w:tc>
          <w:tcPr>
            <w:vAlign w:val="center"/>
          </w:tcPr>
          <w:p w:rsidR="00000000" w:rsidDel="00000000" w:rsidP="00000000" w:rsidRDefault="00000000" w:rsidRPr="00000000" w14:paraId="0000006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69" w:hRule="atLeast"/>
          <w:tblHeader w:val="0"/>
        </w:trPr>
        <w:tc>
          <w:tcPr>
            <w:vAlign w:val="center"/>
          </w:tcPr>
          <w:p w:rsidR="00000000" w:rsidDel="00000000" w:rsidP="00000000" w:rsidRDefault="00000000" w:rsidRPr="00000000" w14:paraId="0000006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6B">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rPr>
          <w:rFonts w:ascii="Arial Narrow" w:cs="Arial Narrow" w:eastAsia="Arial Narrow" w:hAnsi="Arial Narrow"/>
          <w:sz w:val="18"/>
          <w:szCs w:val="18"/>
        </w:rPr>
      </w:pPr>
      <w:r w:rsidDel="00000000" w:rsidR="00000000" w:rsidRPr="00000000">
        <w:rPr>
          <w:rtl w:val="0"/>
        </w:rPr>
      </w:r>
    </w:p>
    <w:tbl>
      <w:tblPr>
        <w:tblStyle w:val="Table4"/>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6E">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71">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73">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75">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77">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79">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7B">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7D">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7F">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17,462.40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81">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1,240,176.00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83">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240,176.00</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84">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85">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7.75%</w:t>
            </w:r>
          </w:p>
        </w:tc>
      </w:tr>
    </w:tbl>
    <w:p w:rsidR="00000000" w:rsidDel="00000000" w:rsidP="00000000" w:rsidRDefault="00000000" w:rsidRPr="00000000" w14:paraId="00000086">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30 April 2026.</w:t>
      </w:r>
    </w:p>
    <w:p w:rsidR="00000000" w:rsidDel="00000000" w:rsidP="00000000" w:rsidRDefault="00000000" w:rsidRPr="00000000" w14:paraId="00000087">
      <w:pPr>
        <w:spacing w:after="0" w:before="120" w:line="240" w:lineRule="auto"/>
        <w:ind w:left="-28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spacing w:after="0" w:before="120" w:line="240" w:lineRule="auto"/>
        <w:ind w:left="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spacing w:after="0" w:before="120" w:line="240" w:lineRule="auto"/>
        <w:ind w:left="-284" w:firstLine="284"/>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spacing w:after="0" w:before="0" w:line="240" w:lineRule="auto"/>
        <w:ind w:left="-284" w:firstLine="0"/>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18"/>
          <w:szCs w:val="18"/>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xvvXcOO2NAdr4hJlMZxcK3C8w==">CgMxLjA4AHIhMU8wNGpOQURHcVQ3OUZrOEFKeTQwMG1OTWpuYUpvcnQ1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