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2755" w14:textId="77777777" w:rsidR="00B9720D" w:rsidRDefault="00B9720D" w:rsidP="00B9720D">
      <w:pPr>
        <w:pStyle w:val="ListParagraph"/>
        <w:rPr>
          <w:rFonts w:cstheme="minorHAnsi"/>
          <w:sz w:val="20"/>
          <w:szCs w:val="20"/>
          <w:shd w:val="clear" w:color="auto" w:fill="F7F7F7"/>
        </w:rPr>
      </w:pPr>
    </w:p>
    <w:p w14:paraId="28A3F871" w14:textId="6460AA14" w:rsidR="00B9720D" w:rsidRPr="00AC24A4" w:rsidRDefault="00B9720D" w:rsidP="00B9720D">
      <w:pPr>
        <w:pStyle w:val="ListParagraph"/>
        <w:rPr>
          <w:rFonts w:cstheme="minorHAnsi"/>
          <w:sz w:val="20"/>
          <w:szCs w:val="20"/>
          <w:shd w:val="clear" w:color="auto" w:fill="F7F7F7"/>
        </w:rPr>
      </w:pPr>
    </w:p>
    <w:tbl>
      <w:tblPr>
        <w:tblW w:w="9960" w:type="dxa"/>
        <w:tblInd w:w="-558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9"/>
        <w:gridCol w:w="2675"/>
        <w:gridCol w:w="2676"/>
      </w:tblGrid>
      <w:tr w:rsidR="00B9720D" w:rsidRPr="00CE6025" w14:paraId="5CD19BAB" w14:textId="77777777" w:rsidTr="00D142FE">
        <w:trPr>
          <w:trHeight w:val="254"/>
        </w:trPr>
        <w:tc>
          <w:tcPr>
            <w:tcW w:w="9960" w:type="dxa"/>
            <w:gridSpan w:val="3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C2328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7ECED5" w14:textId="47EB74B0" w:rsidR="00B9720D" w:rsidRPr="00BD720E" w:rsidRDefault="00B9720D" w:rsidP="00696B9F">
            <w:pPr>
              <w:pStyle w:val="ListParagraph"/>
              <w:spacing w:after="0" w:line="240" w:lineRule="auto"/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BD720E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 xml:space="preserve">                                          SUPERNOVA </w:t>
            </w:r>
            <w:r w:rsidR="00EF7B2A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>VISA CLASSIC</w:t>
            </w:r>
            <w:r w:rsidRPr="00BD720E">
              <w:rPr>
                <w:rFonts w:eastAsia="Times New Roman" w:cstheme="minorHAnsi"/>
                <w:b/>
                <w:bCs/>
                <w:caps/>
                <w:color w:val="FFFFFF"/>
                <w:kern w:val="0"/>
                <w:sz w:val="20"/>
                <w:szCs w:val="20"/>
                <w:lang w:eastAsia="sr-Latn-RS"/>
                <w14:ligatures w14:val="none"/>
              </w:rPr>
              <w:t xml:space="preserve"> KREDITNA KARTICA</w:t>
            </w:r>
          </w:p>
        </w:tc>
      </w:tr>
      <w:tr w:rsidR="00A311CA" w:rsidRPr="00CE6025" w14:paraId="0A7AE4FD" w14:textId="77777777" w:rsidTr="003E27E6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704DC43D" w14:textId="77777777" w:rsidR="00A311CA" w:rsidRPr="00CE6025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Vrsta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kartice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DCD2942" w14:textId="77777777" w:rsidR="00A311CA" w:rsidRPr="004967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49672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Revolving kreditna kartica – bez depozita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bottom"/>
          </w:tcPr>
          <w:p w14:paraId="726E3F2F" w14:textId="43FA0776" w:rsidR="00A311CA" w:rsidRPr="004967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49672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Revolving kreditna kartica – 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sa 105% depozita</w:t>
            </w:r>
          </w:p>
        </w:tc>
      </w:tr>
      <w:tr w:rsidR="00B9720D" w:rsidRPr="00CE6025" w14:paraId="228FEBBD" w14:textId="77777777" w:rsidTr="00C130CF">
        <w:trPr>
          <w:trHeight w:val="219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27AF7B94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Valuta u kojoj se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odobrava 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limit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p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o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kartici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224A30D" w14:textId="7D9ED90F" w:rsidR="00B9720D" w:rsidRPr="00CE6025" w:rsidRDefault="00B9720D" w:rsidP="00496725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RS</w:t>
            </w:r>
            <w:r w:rsidR="004967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D</w:t>
            </w:r>
          </w:p>
        </w:tc>
      </w:tr>
      <w:tr w:rsidR="00B9720D" w:rsidRPr="00CE6025" w14:paraId="1CAA2CEF" w14:textId="77777777" w:rsidTr="00C130CF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</w:tcPr>
          <w:p w14:paraId="0653661D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Kriterijum za indeksiranje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48811FB5" w14:textId="1FE559BC" w:rsidR="00B9720D" w:rsidRPr="00CE6025" w:rsidRDefault="00496725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Bez</w:t>
            </w:r>
            <w:r w:rsidR="00B9720D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 w:rsidR="00B9720D"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kriterijuma za indeksiranje</w:t>
            </w:r>
          </w:p>
        </w:tc>
      </w:tr>
      <w:tr w:rsidR="00B9720D" w:rsidRPr="00CE6025" w14:paraId="44D1B031" w14:textId="77777777" w:rsidTr="00C130CF">
        <w:trPr>
          <w:trHeight w:val="254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478A9FEB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Rok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izdavanja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kartice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C25E512" w14:textId="77777777" w:rsidR="00B9720D" w:rsidRPr="00CE6025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36 meseci</w:t>
            </w:r>
          </w:p>
        </w:tc>
      </w:tr>
      <w:tr w:rsidR="00B9720D" w:rsidRPr="00CE6025" w14:paraId="68B592CE" w14:textId="77777777" w:rsidTr="00A311CA">
        <w:trPr>
          <w:trHeight w:val="400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bottom"/>
            <w:hideMark/>
          </w:tcPr>
          <w:p w14:paraId="3B611AAC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Iznos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limita po kartici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7490E48" w14:textId="062F00A2" w:rsidR="00B9720D" w:rsidRPr="00CE6025" w:rsidRDefault="00496725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7D00C0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00.000,00</w:t>
            </w:r>
          </w:p>
        </w:tc>
      </w:tr>
      <w:tr w:rsidR="00A311CA" w:rsidRPr="00CE6025" w14:paraId="6EC7D15D" w14:textId="77777777" w:rsidTr="00755FB9">
        <w:trPr>
          <w:trHeight w:val="578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8CDE0F3" w14:textId="77777777" w:rsidR="00A311CA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Nominalna kamatna stopa</w:t>
            </w:r>
          </w:p>
          <w:p w14:paraId="2D3B8446" w14:textId="77777777" w:rsidR="00A311CA" w:rsidRPr="00CE6025" w:rsidRDefault="00A311CA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(na godišnjem nivou, fiksna)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7B0A11C5" w14:textId="77777777" w:rsidR="00A311CA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16,00%  na iznos iskorišćenih sredstava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bottom"/>
          </w:tcPr>
          <w:p w14:paraId="11F72729" w14:textId="77777777" w:rsidR="00A311CA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15,00%  na iznos </w:t>
            </w:r>
          </w:p>
          <w:p w14:paraId="0397BA04" w14:textId="7DC88DDC" w:rsidR="00A311CA" w:rsidRPr="00CE6025" w:rsidRDefault="00A311CA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iskorišćenih sredstava</w:t>
            </w:r>
          </w:p>
        </w:tc>
      </w:tr>
      <w:tr w:rsidR="00B9720D" w:rsidRPr="00CE6025" w14:paraId="2E774331" w14:textId="77777777" w:rsidTr="00C130CF">
        <w:trPr>
          <w:trHeight w:val="752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  <w:hideMark/>
          </w:tcPr>
          <w:p w14:paraId="5DF61700" w14:textId="77777777" w:rsidR="00B9720D" w:rsidRPr="00CE6025" w:rsidRDefault="00B9720D" w:rsidP="00696B9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E602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Obezbeđenje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44DD5522" w14:textId="77777777" w:rsidR="00B9720D" w:rsidRPr="00B46E3D" w:rsidRDefault="00B9720D" w:rsidP="00696B9F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46E3D">
              <w:rPr>
                <w:rFonts w:cstheme="minorHAnsi"/>
                <w:sz w:val="20"/>
                <w:szCs w:val="20"/>
              </w:rPr>
              <w:t>administrativna zabrana ili trajni nalog</w:t>
            </w:r>
          </w:p>
          <w:p w14:paraId="7A17D609" w14:textId="77777777" w:rsidR="00B9720D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 blanko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sopstven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menic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</w:t>
            </w:r>
            <w:r w:rsidRPr="00BD6D61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sa klauzulom „bez protesta“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korisnika kartice</w:t>
            </w:r>
          </w:p>
          <w:p w14:paraId="7F7B0B8E" w14:textId="77777777" w:rsidR="00B9720D" w:rsidRPr="00CE6025" w:rsidRDefault="00B9720D" w:rsidP="00696B9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</w:tr>
      <w:tr w:rsidR="00496725" w:rsidRPr="00CE6025" w14:paraId="44584DFD" w14:textId="77777777" w:rsidTr="00C130CF">
        <w:trPr>
          <w:trHeight w:val="40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5B1C48" w14:textId="12412642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Troškovi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povlačenja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zveštaja kredit biroa 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8D7B7" w14:textId="7C15A08E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32649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246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,00</w:t>
            </w:r>
          </w:p>
        </w:tc>
      </w:tr>
      <w:tr w:rsidR="00496725" w:rsidRPr="00CE6025" w14:paraId="1B9F84B1" w14:textId="77777777" w:rsidTr="00C130CF">
        <w:trPr>
          <w:trHeight w:val="302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ACA106" w14:textId="14370D39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Trošk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ak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izdavanja </w:t>
            </w: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menic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A5C30" w14:textId="64F09A50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326495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50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,00</w:t>
            </w:r>
          </w:p>
        </w:tc>
      </w:tr>
      <w:tr w:rsidR="00496725" w:rsidRPr="00CE6025" w14:paraId="53EC7DA5" w14:textId="77777777" w:rsidTr="00C130CF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A9C5608" w14:textId="4FA679AF" w:rsidR="00496725" w:rsidRPr="00CE6025" w:rsidRDefault="00496725" w:rsidP="00496725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Naknada za izdavanje i reizdavanje</w:t>
            </w:r>
          </w:p>
        </w:tc>
        <w:tc>
          <w:tcPr>
            <w:tcW w:w="5351" w:type="dxa"/>
            <w:gridSpan w:val="2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D69B2" w14:textId="18222036" w:rsidR="00496725" w:rsidRPr="00B46E3D" w:rsidRDefault="00496725" w:rsidP="00496725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RSD 0,00</w:t>
            </w:r>
          </w:p>
        </w:tc>
      </w:tr>
      <w:tr w:rsidR="00A311CA" w:rsidRPr="00CE6025" w14:paraId="77838122" w14:textId="77777777" w:rsidTr="00003478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02113E" w14:textId="77777777" w:rsidR="00A311CA" w:rsidRDefault="00A311CA" w:rsidP="00C130CF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2B723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Ukupni 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iznos koji korisnik treba da plati po kartici</w:t>
            </w:r>
          </w:p>
          <w:p w14:paraId="2F9154D7" w14:textId="77777777" w:rsidR="00A311CA" w:rsidRPr="00C130CF" w:rsidRDefault="00A311CA" w:rsidP="00C130CF">
            <w:pPr>
              <w:spacing w:after="0" w:line="240" w:lineRule="auto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4C053" w14:textId="3887FA9B" w:rsidR="00A311CA" w:rsidRPr="00CC3709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C3709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326495" w:rsidRPr="00CC3709">
              <w:rPr>
                <w:sz w:val="20"/>
                <w:szCs w:val="20"/>
              </w:rPr>
              <w:t>121,605.48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center"/>
          </w:tcPr>
          <w:p w14:paraId="75707D4A" w14:textId="771D3A37" w:rsidR="00A311CA" w:rsidRPr="00CC3709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CC3709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RSD </w:t>
            </w:r>
            <w:r w:rsidR="00CC3709" w:rsidRPr="00CC3709">
              <w:rPr>
                <w:sz w:val="20"/>
                <w:szCs w:val="20"/>
              </w:rPr>
              <w:t>120,281.60</w:t>
            </w:r>
          </w:p>
        </w:tc>
      </w:tr>
      <w:tr w:rsidR="00A311CA" w:rsidRPr="00CE6025" w14:paraId="12724BF7" w14:textId="77777777" w:rsidTr="00720E09">
        <w:trPr>
          <w:trHeight w:val="296"/>
        </w:trPr>
        <w:tc>
          <w:tcPr>
            <w:tcW w:w="4609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DEDEDE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4E3F8DC" w14:textId="4DB0147F" w:rsidR="00A311CA" w:rsidRPr="00BD720E" w:rsidRDefault="00A311CA" w:rsidP="00BD720E">
            <w:pPr>
              <w:spacing w:after="0" w:line="240" w:lineRule="auto"/>
              <w:rPr>
                <w:rFonts w:eastAsia="Times New Roman" w:cstheme="minorHAnsi"/>
                <w:b/>
                <w:bCs/>
                <w:color w:val="22232D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0A5221">
              <w:rPr>
                <w:rFonts w:eastAsia="Times New Roman" w:cstheme="minorHAnsi"/>
                <w:b/>
                <w:bCs/>
                <w:color w:val="22232D"/>
                <w:kern w:val="0"/>
                <w:sz w:val="24"/>
                <w:szCs w:val="24"/>
                <w:lang w:eastAsia="sr-Latn-RS"/>
                <w14:ligatures w14:val="none"/>
              </w:rPr>
              <w:t>Efektivna kamatna stopa (na godišnjem nivou)</w:t>
            </w:r>
            <w:r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 </w:t>
            </w:r>
          </w:p>
        </w:tc>
        <w:tc>
          <w:tcPr>
            <w:tcW w:w="2675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D239FE" w14:textId="44D9BB21" w:rsidR="00A311CA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="0032649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,</w:t>
            </w:r>
            <w:r w:rsidR="0032649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</w:t>
            </w:r>
            <w:r w:rsidRPr="00587FF5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%</w:t>
            </w:r>
          </w:p>
        </w:tc>
        <w:tc>
          <w:tcPr>
            <w:tcW w:w="2676" w:type="dxa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shd w:val="clear" w:color="auto" w:fill="FFFFFF"/>
            <w:vAlign w:val="center"/>
          </w:tcPr>
          <w:p w14:paraId="58CED947" w14:textId="56C0CE49" w:rsidR="00A311CA" w:rsidRPr="00A311CA" w:rsidRDefault="00A311CA" w:rsidP="00C130C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A311CA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="00CC3709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5,28</w:t>
            </w:r>
            <w:r w:rsidRPr="00A311CA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%</w:t>
            </w:r>
          </w:p>
        </w:tc>
      </w:tr>
      <w:tr w:rsidR="00071E54" w:rsidRPr="00CE6025" w14:paraId="4291D9C6" w14:textId="77777777" w:rsidTr="00071E54">
        <w:trPr>
          <w:trHeight w:val="296"/>
        </w:trPr>
        <w:tc>
          <w:tcPr>
            <w:tcW w:w="9960" w:type="dxa"/>
            <w:gridSpan w:val="3"/>
            <w:tcBorders>
              <w:top w:val="single" w:sz="48" w:space="0" w:color="F7F7F7"/>
              <w:left w:val="single" w:sz="48" w:space="0" w:color="F7F7F7"/>
              <w:bottom w:val="single" w:sz="48" w:space="0" w:color="F7F7F7"/>
              <w:right w:val="single" w:sz="48" w:space="0" w:color="F7F7F7"/>
            </w:tcBorders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F7EC7E4" w14:textId="5522418B" w:rsidR="00071E54" w:rsidRDefault="00071E54" w:rsidP="00071E54">
            <w:pPr>
              <w:spacing w:after="0" w:line="240" w:lineRule="auto"/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</w:pPr>
            <w:r w:rsidRPr="00071E54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*Obračun je izvršen na dan 0</w:t>
            </w:r>
            <w:r w:rsidR="00A311CA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1</w:t>
            </w:r>
            <w:r w:rsidRPr="00071E54">
              <w:rPr>
                <w:rFonts w:eastAsia="Times New Roman" w:cstheme="minorHAnsi"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.01.2025.godine</w:t>
            </w:r>
          </w:p>
          <w:p w14:paraId="47C9DF79" w14:textId="77777777" w:rsidR="00071E54" w:rsidRDefault="00071E54" w:rsidP="00071E5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71E54"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>Svi navedeni podaci su informativnog karaktera i ne mogu se koristiti u druge svrhe</w:t>
            </w:r>
            <w:r>
              <w:rPr>
                <w:rFonts w:eastAsia="Times New Roman" w:cstheme="minorHAnsi"/>
                <w:b/>
                <w:bCs/>
                <w:color w:val="22232D"/>
                <w:kern w:val="0"/>
                <w:sz w:val="20"/>
                <w:szCs w:val="20"/>
                <w:lang w:eastAsia="sr-Latn-RS"/>
                <w14:ligatures w14:val="none"/>
              </w:rPr>
              <w:t xml:space="preserve">. </w:t>
            </w:r>
            <w:r w:rsidRPr="006048C6">
              <w:rPr>
                <w:rFonts w:cstheme="minorHAnsi"/>
                <w:b/>
                <w:bCs/>
                <w:sz w:val="20"/>
                <w:szCs w:val="20"/>
              </w:rPr>
              <w:t>Za konkretan obračun kredita potrebno je obratiti se Savetniku za poslove sa fizičkim licima u najbližoj ekspozituri Banke.</w:t>
            </w:r>
          </w:p>
          <w:p w14:paraId="66DAF79F" w14:textId="77777777" w:rsidR="00071E54" w:rsidRDefault="00071E54" w:rsidP="00071E5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D836140" w14:textId="795A8479" w:rsid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„</w:t>
            </w: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>Banka se obavezuje da korisniku pruži informacije o naknadama u skladu sa Tarifom naknada Banke u ekspozituri Banke, kao i putem interneta na sajtu </w:t>
            </w:r>
            <w:hyperlink r:id="rId7" w:history="1">
              <w:r w:rsidRPr="000A2514">
                <w:rPr>
                  <w:rStyle w:val="Hyperlink"/>
                  <w:rFonts w:asciiTheme="minorHAnsi" w:eastAsiaTheme="majorEastAsia" w:hAnsiTheme="minorHAnsi" w:cstheme="minorHAnsi"/>
                  <w:i/>
                  <w:iCs/>
                  <w:color w:val="DC2328"/>
                  <w:sz w:val="20"/>
                  <w:szCs w:val="20"/>
                  <w:bdr w:val="none" w:sz="0" w:space="0" w:color="auto" w:frame="1"/>
                </w:rPr>
                <w:t>www.altabanka.rs</w:t>
              </w:r>
            </w:hyperlink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 xml:space="preserve">. </w:t>
            </w:r>
          </w:p>
          <w:p w14:paraId="4436B475" w14:textId="77777777" w:rsid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</w:pP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 xml:space="preserve">*Na iskorišćeni deo limita ALTA Banka obračunava i naplaćuje kamatu počev od prvog dana narednog meseca od meseca u kome je transakcija nastala. Na taj način, za prvi mesec korišćenja sredstava plaćate kamatu od 0%; </w:t>
            </w:r>
          </w:p>
          <w:p w14:paraId="62A3D792" w14:textId="2098FD83" w:rsidR="00071E54" w:rsidRPr="00071E54" w:rsidRDefault="00071E54" w:rsidP="00071E54">
            <w:pPr>
              <w:pStyle w:val="NormalWeb"/>
              <w:shd w:val="clear" w:color="auto" w:fill="F7F7F7"/>
              <w:spacing w:before="0" w:beforeAutospacing="0" w:after="0" w:afterAutospacing="0" w:line="300" w:lineRule="atLeast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A2514">
              <w:rPr>
                <w:rFonts w:asciiTheme="minorHAnsi" w:hAnsiTheme="minorHAnsi" w:cstheme="minorHAnsi"/>
                <w:i/>
                <w:iCs/>
                <w:color w:val="22232D"/>
                <w:sz w:val="20"/>
                <w:szCs w:val="20"/>
              </w:rPr>
              <w:t>Mesečni izvod po SUPERNOVA kreditnoj kartici se dostavlja isključivo putem email-a.”</w:t>
            </w:r>
          </w:p>
        </w:tc>
      </w:tr>
    </w:tbl>
    <w:p w14:paraId="30598B57" w14:textId="77777777" w:rsidR="00B9720D" w:rsidRPr="00CE6025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Times New Roman" w:cstheme="minorHAnsi"/>
          <w:vanish/>
          <w:kern w:val="0"/>
          <w:sz w:val="20"/>
          <w:szCs w:val="20"/>
          <w:lang w:eastAsia="sr-Latn-RS"/>
          <w14:ligatures w14:val="none"/>
        </w:rPr>
      </w:pPr>
    </w:p>
    <w:p w14:paraId="11303DF4" w14:textId="77777777" w:rsidR="00B9720D" w:rsidRPr="000A2514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vanish/>
          <w:sz w:val="20"/>
          <w:szCs w:val="20"/>
        </w:rPr>
      </w:pPr>
      <w:bookmarkStart w:id="0" w:name="_Hlk186121556"/>
    </w:p>
    <w:bookmarkEnd w:id="0"/>
    <w:p w14:paraId="02C56FF8" w14:textId="77777777" w:rsidR="00B9720D" w:rsidRPr="000A2514" w:rsidRDefault="00B9720D" w:rsidP="00071E54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vanish/>
          <w:sz w:val="20"/>
          <w:szCs w:val="20"/>
        </w:rPr>
      </w:pPr>
    </w:p>
    <w:sectPr w:rsidR="00B9720D" w:rsidRPr="000A251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B078D" w14:textId="77777777" w:rsidR="00AF1C79" w:rsidRDefault="00AF1C79" w:rsidP="00B9720D">
      <w:pPr>
        <w:spacing w:after="0" w:line="240" w:lineRule="auto"/>
      </w:pPr>
      <w:r>
        <w:separator/>
      </w:r>
    </w:p>
  </w:endnote>
  <w:endnote w:type="continuationSeparator" w:id="0">
    <w:p w14:paraId="2ABF0283" w14:textId="77777777" w:rsidR="00AF1C79" w:rsidRDefault="00AF1C79" w:rsidP="00B97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DB4B7" w14:textId="77777777" w:rsidR="00AF1C79" w:rsidRDefault="00AF1C79" w:rsidP="00B9720D">
      <w:pPr>
        <w:spacing w:after="0" w:line="240" w:lineRule="auto"/>
      </w:pPr>
      <w:r>
        <w:separator/>
      </w:r>
    </w:p>
  </w:footnote>
  <w:footnote w:type="continuationSeparator" w:id="0">
    <w:p w14:paraId="65A1D3FA" w14:textId="77777777" w:rsidR="00AF1C79" w:rsidRDefault="00AF1C79" w:rsidP="00B972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FCAB3" w14:textId="2C855EF9" w:rsidR="00326495" w:rsidRDefault="003264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9935D9" wp14:editId="67B07A3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414175428" name="Text Box 2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509582" w14:textId="7B84777C" w:rsidR="00326495" w:rsidRPr="00326495" w:rsidRDefault="00326495" w:rsidP="003264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264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9935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O" style="position:absolute;margin-left:13.3pt;margin-top:0;width:64.5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" filled="f" stroked="f">
              <v:fill o:detectmouseclick="t"/>
              <v:textbox style="mso-fit-shape-to-text:t" inset="0,15pt,20pt,0">
                <w:txbxContent>
                  <w:p w14:paraId="31509582" w14:textId="7B84777C" w:rsidR="00326495" w:rsidRPr="00326495" w:rsidRDefault="00326495" w:rsidP="003264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264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5FE6" w14:textId="44DD0B4D" w:rsidR="00B9720D" w:rsidRDefault="003264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0756D2" wp14:editId="75986CC2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089266370" name="Text Box 3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848F6" w14:textId="3823E341" w:rsidR="00326495" w:rsidRPr="00326495" w:rsidRDefault="00326495" w:rsidP="003264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264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0756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O" style="position:absolute;margin-left:13.3pt;margin-top:0;width:64.5pt;height:29.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" filled="f" stroked="f">
              <v:fill o:detectmouseclick="t"/>
              <v:textbox style="mso-fit-shape-to-text:t" inset="0,15pt,20pt,0">
                <w:txbxContent>
                  <w:p w14:paraId="684848F6" w14:textId="3823E341" w:rsidR="00326495" w:rsidRPr="00326495" w:rsidRDefault="00326495" w:rsidP="003264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264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720D">
      <w:rPr>
        <w:noProof/>
      </w:rPr>
      <w:drawing>
        <wp:anchor distT="0" distB="0" distL="114300" distR="114300" simplePos="0" relativeHeight="251659264" behindDoc="0" locked="0" layoutInCell="1" allowOverlap="1" wp14:anchorId="09B81100" wp14:editId="2E163470">
          <wp:simplePos x="0" y="0"/>
          <wp:positionH relativeFrom="margin">
            <wp:posOffset>-160020</wp:posOffset>
          </wp:positionH>
          <wp:positionV relativeFrom="paragraph">
            <wp:posOffset>-183515</wp:posOffset>
          </wp:positionV>
          <wp:extent cx="2177588" cy="627714"/>
          <wp:effectExtent l="0" t="0" r="0" b="1270"/>
          <wp:wrapNone/>
          <wp:docPr id="1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7588" cy="62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C7F7D" w14:textId="3F7FD5C4" w:rsidR="00326495" w:rsidRDefault="0032649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63895C6" wp14:editId="63CCF05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819150" cy="374650"/>
              <wp:effectExtent l="0" t="0" r="0" b="6350"/>
              <wp:wrapNone/>
              <wp:docPr id="1356944127" name="Text Box 1" descr="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3FA43" w14:textId="6F948AA5" w:rsidR="00326495" w:rsidRPr="00326495" w:rsidRDefault="00326495" w:rsidP="0032649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326495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895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O" style="position:absolute;margin-left:13.3pt;margin-top:0;width:64.5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0CB3FA43" w14:textId="6F948AA5" w:rsidR="00326495" w:rsidRPr="00326495" w:rsidRDefault="00326495" w:rsidP="0032649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326495">
                      <w:rPr>
                        <w:rFonts w:ascii="Aptos" w:eastAsia="Aptos" w:hAnsi="Aptos" w:cs="Aptos"/>
                        <w:noProof/>
                        <w:color w:val="000000"/>
                      </w:rPr>
                      <w:t>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3BB8"/>
    <w:multiLevelType w:val="hybridMultilevel"/>
    <w:tmpl w:val="DB865FB4"/>
    <w:lvl w:ilvl="0" w:tplc="C6E85C36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735E"/>
    <w:multiLevelType w:val="hybridMultilevel"/>
    <w:tmpl w:val="176E48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AC6898"/>
    <w:multiLevelType w:val="hybridMultilevel"/>
    <w:tmpl w:val="BB1EF29C"/>
    <w:lvl w:ilvl="0" w:tplc="6D4A3B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845115">
    <w:abstractNumId w:val="1"/>
  </w:num>
  <w:num w:numId="2" w16cid:durableId="1918399721">
    <w:abstractNumId w:val="0"/>
  </w:num>
  <w:num w:numId="3" w16cid:durableId="21444963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0D"/>
    <w:rsid w:val="00071E54"/>
    <w:rsid w:val="002C1C7D"/>
    <w:rsid w:val="00326495"/>
    <w:rsid w:val="00450065"/>
    <w:rsid w:val="00496725"/>
    <w:rsid w:val="004D64E5"/>
    <w:rsid w:val="00587FF5"/>
    <w:rsid w:val="005E51D7"/>
    <w:rsid w:val="006048C6"/>
    <w:rsid w:val="007338E8"/>
    <w:rsid w:val="0076013F"/>
    <w:rsid w:val="007D00C0"/>
    <w:rsid w:val="008123F1"/>
    <w:rsid w:val="009A1922"/>
    <w:rsid w:val="00A311CA"/>
    <w:rsid w:val="00AF1C79"/>
    <w:rsid w:val="00B9720D"/>
    <w:rsid w:val="00BD720E"/>
    <w:rsid w:val="00C130CF"/>
    <w:rsid w:val="00CC3709"/>
    <w:rsid w:val="00CE25D1"/>
    <w:rsid w:val="00D142FE"/>
    <w:rsid w:val="00E20FE4"/>
    <w:rsid w:val="00E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CC2F05"/>
  <w15:chartTrackingRefBased/>
  <w15:docId w15:val="{65D70A4C-EE8E-443D-B918-B2A1693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20D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7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7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72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72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2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72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72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72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72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7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7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72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72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2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72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72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72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72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7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72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72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7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72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72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72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7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72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72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B9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table" w:styleId="TableGrid">
    <w:name w:val="Table Grid"/>
    <w:basedOn w:val="TableNormal"/>
    <w:uiPriority w:val="39"/>
    <w:rsid w:val="00B9720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972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20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972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20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ltabanka.r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1344</Characters>
  <Application>Microsoft Office Word</Application>
  <DocSecurity>0</DocSecurity>
  <Lines>50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Smiljanić</dc:creator>
  <cp:keywords/>
  <dc:description/>
  <cp:lastModifiedBy>Aleksandar Stefanović</cp:lastModifiedBy>
  <cp:revision>6</cp:revision>
  <dcterms:created xsi:type="dcterms:W3CDTF">2024-12-27T08:41:00Z</dcterms:created>
  <dcterms:modified xsi:type="dcterms:W3CDTF">2025-12-12T10:48:00Z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50e152ff,18afd0c4,40ece2c2</vt:lpwstr>
  </property>
  <property fmtid="{D5CDD505-2E9C-101B-9397-08002B2CF9AE}" pid="3" name="ClassificationContentMarkingHeaderFontProps">
    <vt:lpwstr>#000000,11,Aptos</vt:lpwstr>
  </property>
  <property fmtid="{D5CDD505-2E9C-101B-9397-08002B2CF9AE}" pid="4" name="ClassificationContentMarkingHeaderText">
    <vt:lpwstr>INTERNO</vt:lpwstr>
  </property>
  <property fmtid="{D5CDD505-2E9C-101B-9397-08002B2CF9AE}" pid="5" name="MSIP_Label_f1a3ad2c-69b0-4505-bed7-d57c98bca4e1_Enabled">
    <vt:lpwstr>true</vt:lpwstr>
  </property>
  <property fmtid="{D5CDD505-2E9C-101B-9397-08002B2CF9AE}" pid="6" name="MSIP_Label_f1a3ad2c-69b0-4505-bed7-d57c98bca4e1_SetDate">
    <vt:lpwstr>2025-12-12T10:22:30Z</vt:lpwstr>
  </property>
  <property fmtid="{D5CDD505-2E9C-101B-9397-08002B2CF9AE}" pid="7" name="MSIP_Label_f1a3ad2c-69b0-4505-bed7-d57c98bca4e1_Method">
    <vt:lpwstr>Privileged</vt:lpwstr>
  </property>
  <property fmtid="{D5CDD505-2E9C-101B-9397-08002B2CF9AE}" pid="8" name="MSIP_Label_f1a3ad2c-69b0-4505-bed7-d57c98bca4e1_Name">
    <vt:lpwstr>f1a3ad2c-69b0-4505-bed7-d57c98bca4e1</vt:lpwstr>
  </property>
  <property fmtid="{D5CDD505-2E9C-101B-9397-08002B2CF9AE}" pid="9" name="MSIP_Label_f1a3ad2c-69b0-4505-bed7-d57c98bca4e1_SiteId">
    <vt:lpwstr>4ed15eaf-d69d-49e4-b264-afae60149deb</vt:lpwstr>
  </property>
  <property fmtid="{D5CDD505-2E9C-101B-9397-08002B2CF9AE}" pid="10" name="MSIP_Label_f1a3ad2c-69b0-4505-bed7-d57c98bca4e1_ActionId">
    <vt:lpwstr>108319cd-cb6c-4d60-b62b-945de97b9281</vt:lpwstr>
  </property>
  <property fmtid="{D5CDD505-2E9C-101B-9397-08002B2CF9AE}" pid="11" name="MSIP_Label_f1a3ad2c-69b0-4505-bed7-d57c98bca4e1_ContentBits">
    <vt:lpwstr>1</vt:lpwstr>
  </property>
  <property fmtid="{D5CDD505-2E9C-101B-9397-08002B2CF9AE}" pid="12" name="MSIP_Label_f1a3ad2c-69b0-4505-bed7-d57c98bca4e1_Tag">
    <vt:lpwstr>10, 0, 1, 1</vt:lpwstr>
  </property>
</Properties>
</file>