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206B" w14:textId="54DC1B52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Na osnovu člana 14. stav 4. Zakona o zaštiti uzbunjivača, („SI. glasnik RS“ br. 128/2014) zaposlenom, odnosno drugom radno angažovanom licu dostavlja se</w:t>
      </w:r>
    </w:p>
    <w:p w14:paraId="37C22855" w14:textId="77777777" w:rsidR="00AA5DC2" w:rsidRPr="006047EE" w:rsidRDefault="00AA5DC2" w:rsidP="005C7AFD">
      <w:pPr>
        <w:jc w:val="both"/>
        <w:rPr>
          <w:rFonts w:ascii="Arial Narrow" w:hAnsi="Arial Narrow"/>
        </w:rPr>
      </w:pPr>
    </w:p>
    <w:p w14:paraId="27A0AEFB" w14:textId="77777777" w:rsidR="00AA5DC2" w:rsidRPr="006047EE" w:rsidRDefault="000A6528" w:rsidP="005C7AFD">
      <w:pPr>
        <w:contextualSpacing/>
        <w:jc w:val="center"/>
        <w:rPr>
          <w:rFonts w:ascii="Arial Narrow" w:hAnsi="Arial Narrow"/>
          <w:b/>
          <w:bCs/>
        </w:rPr>
      </w:pPr>
      <w:r w:rsidRPr="006047EE">
        <w:rPr>
          <w:rFonts w:ascii="Arial Narrow" w:hAnsi="Arial Narrow"/>
          <w:b/>
          <w:bCs/>
        </w:rPr>
        <w:t>OB A V E Š T E NJ E</w:t>
      </w:r>
    </w:p>
    <w:p w14:paraId="0D552FBA" w14:textId="7F2E2079" w:rsidR="000A6528" w:rsidRPr="006047EE" w:rsidRDefault="000A6528" w:rsidP="005C7AFD">
      <w:pPr>
        <w:contextualSpacing/>
        <w:jc w:val="center"/>
        <w:rPr>
          <w:rFonts w:ascii="Arial Narrow" w:hAnsi="Arial Narrow"/>
          <w:b/>
          <w:bCs/>
        </w:rPr>
      </w:pPr>
      <w:r w:rsidRPr="006047EE">
        <w:rPr>
          <w:rFonts w:ascii="Arial Narrow" w:hAnsi="Arial Narrow"/>
          <w:b/>
          <w:bCs/>
        </w:rPr>
        <w:t>o pravima uzbunjivača</w:t>
      </w:r>
    </w:p>
    <w:p w14:paraId="33C5EC24" w14:textId="77777777" w:rsidR="00AA5DC2" w:rsidRPr="006047EE" w:rsidRDefault="00AA5DC2" w:rsidP="005C7AFD">
      <w:pPr>
        <w:jc w:val="both"/>
        <w:rPr>
          <w:rFonts w:ascii="Arial Narrow" w:hAnsi="Arial Narrow"/>
        </w:rPr>
      </w:pPr>
    </w:p>
    <w:p w14:paraId="18149EC8" w14:textId="2E920B3D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Poštovani,</w:t>
      </w:r>
    </w:p>
    <w:p w14:paraId="6A1C1893" w14:textId="77777777" w:rsidR="000A6528" w:rsidRPr="006047EE" w:rsidRDefault="000A6528" w:rsidP="005C7AFD">
      <w:pPr>
        <w:contextualSpacing/>
        <w:jc w:val="both"/>
        <w:rPr>
          <w:rFonts w:ascii="Arial Narrow" w:hAnsi="Arial Narrow"/>
          <w:kern w:val="22"/>
          <w14:cntxtAlts/>
        </w:rPr>
      </w:pPr>
      <w:r w:rsidRPr="006047EE">
        <w:rPr>
          <w:rFonts w:ascii="Arial Narrow" w:hAnsi="Arial Narrow"/>
          <w:kern w:val="22"/>
          <w14:cntxtAlts/>
        </w:rPr>
        <w:t>Obaveštavamo Vas o pravima koja imate na osnovu Zakona o zaštiti uzbunjivača (u daljem tekstu: Zakon)</w:t>
      </w:r>
    </w:p>
    <w:p w14:paraId="2C3CCA92" w14:textId="77777777" w:rsidR="005C7AFD" w:rsidRPr="006047EE" w:rsidRDefault="005C7AFD" w:rsidP="005C7AFD">
      <w:pPr>
        <w:contextualSpacing/>
        <w:jc w:val="both"/>
        <w:rPr>
          <w:rFonts w:ascii="Arial Narrow" w:hAnsi="Arial Narrow"/>
          <w:kern w:val="22"/>
          <w14:cntxtAlts/>
        </w:rPr>
      </w:pPr>
    </w:p>
    <w:p w14:paraId="1C47762B" w14:textId="33DA32D0" w:rsidR="000A6528" w:rsidRPr="006047EE" w:rsidRDefault="000A6528" w:rsidP="006047EE">
      <w:pPr>
        <w:contextualSpacing/>
        <w:jc w:val="both"/>
        <w:rPr>
          <w:rFonts w:ascii="Arial Narrow" w:hAnsi="Arial Narrow"/>
          <w:kern w:val="22"/>
          <w14:cntxtAlts/>
        </w:rPr>
      </w:pPr>
      <w:r w:rsidRPr="006047EE">
        <w:rPr>
          <w:rFonts w:ascii="Arial Narrow" w:hAnsi="Arial Narrow"/>
          <w:kern w:val="22"/>
          <w14:cntxtAlts/>
        </w:rPr>
        <w:t>1. Zakon pruža zaštitu fizičkom licu, uzbunjivaču, koje izvrši uzbunjivanje u vezi sa svojim radnim angažovanjem,</w:t>
      </w:r>
      <w:r w:rsidR="006047EE" w:rsidRPr="006047EE">
        <w:rPr>
          <w:rFonts w:ascii="Arial Narrow" w:hAnsi="Arial Narrow"/>
          <w:kern w:val="22"/>
          <w14:cntxtAlts/>
        </w:rPr>
        <w:t xml:space="preserve"> </w:t>
      </w:r>
      <w:r w:rsidRPr="006047EE">
        <w:rPr>
          <w:rFonts w:ascii="Arial Narrow" w:hAnsi="Arial Narrow"/>
          <w:kern w:val="22"/>
          <w14:cntxtAlts/>
        </w:rPr>
        <w:t xml:space="preserve">postupkom zapošljavanja, korišćenjem usluga državnih i drugih organa, nosilaca javnih ovlašćenja ili javnih službi, </w:t>
      </w:r>
    </w:p>
    <w:p w14:paraId="7C8D17B3" w14:textId="77777777" w:rsidR="000A6528" w:rsidRPr="006047EE" w:rsidRDefault="000A6528" w:rsidP="005C7AFD">
      <w:pPr>
        <w:contextualSpacing/>
        <w:jc w:val="both"/>
        <w:rPr>
          <w:rFonts w:ascii="Arial Narrow" w:hAnsi="Arial Narrow"/>
          <w:kern w:val="22"/>
          <w14:cntxtAlts/>
        </w:rPr>
      </w:pPr>
      <w:r w:rsidRPr="006047EE">
        <w:rPr>
          <w:rFonts w:ascii="Arial Narrow" w:hAnsi="Arial Narrow"/>
          <w:kern w:val="22"/>
          <w14:cntxtAlts/>
        </w:rPr>
        <w:t>poslovnom saradnjom i pravom vlasništva na privrednom druśtvu.</w:t>
      </w:r>
    </w:p>
    <w:p w14:paraId="6D50E2EE" w14:textId="77777777" w:rsidR="005C7AFD" w:rsidRPr="006047EE" w:rsidRDefault="005C7AFD" w:rsidP="005C7AFD">
      <w:pPr>
        <w:contextualSpacing/>
        <w:jc w:val="both"/>
        <w:rPr>
          <w:rFonts w:ascii="Arial Narrow" w:hAnsi="Arial Narrow"/>
          <w:kern w:val="22"/>
          <w14:cntxtAlts/>
        </w:rPr>
      </w:pPr>
    </w:p>
    <w:p w14:paraId="33F1DAB9" w14:textId="5D464CB2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Uzbunjivanje predstavlja otkrivanje informacije koja sadrži podatke o kršenju propisa, kršenju ljudskih prava, vršenju javnog ovlašćenja protivno svrsi zbog koje je povereno, opasnosti po život, javno zdravlje, bezbednost, životnu sredinu, kao i radi sprečavanja štete velikih razmera.</w:t>
      </w:r>
    </w:p>
    <w:p w14:paraId="2D685821" w14:textId="77777777" w:rsidR="005C7AFD" w:rsidRPr="006047EE" w:rsidRDefault="005C7AFD" w:rsidP="005C7AFD">
      <w:pPr>
        <w:contextualSpacing/>
        <w:jc w:val="both"/>
        <w:rPr>
          <w:rFonts w:ascii="Arial Narrow" w:hAnsi="Arial Narrow"/>
        </w:rPr>
      </w:pPr>
    </w:p>
    <w:p w14:paraId="6060A979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 xml:space="preserve">Informacija može da sadrži potpis uzbunjivača i podatke o uzbunjivaču. Poslodavac i ovlašćeni organ dužni su da </w:t>
      </w:r>
    </w:p>
    <w:p w14:paraId="77525E9F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postupaju i po anonimnim obaveštenjima u vezi sa ínformacijom, u okviru svojih ovlašćenja.</w:t>
      </w:r>
    </w:p>
    <w:p w14:paraId="6CB5ED2B" w14:textId="77777777" w:rsidR="005C7AFD" w:rsidRPr="006047EE" w:rsidRDefault="005C7AFD" w:rsidP="005C7AFD">
      <w:pPr>
        <w:contextualSpacing/>
        <w:jc w:val="both"/>
        <w:rPr>
          <w:rFonts w:ascii="Arial Narrow" w:hAnsi="Arial Narrow"/>
        </w:rPr>
      </w:pPr>
    </w:p>
    <w:p w14:paraId="2E04E788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 xml:space="preserve">Zabranjeno je sprečavanje uzbunjivanja i preduzimanje štetne radnje, a koju predstavlja svako činjenje ili nečinjenje </w:t>
      </w:r>
    </w:p>
    <w:p w14:paraId="0D332A4B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 xml:space="preserve">u vezi sa uzbunjivanjem kojim se uzbunjivaču ili licu koje ima pravo na zaštitu kao uzbunjivač ugrožava ili povređuje </w:t>
      </w:r>
    </w:p>
    <w:p w14:paraId="7EEA4992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pravo, odnosno kojim se ta lica stavljaju u nepovoljniji položaj.</w:t>
      </w:r>
    </w:p>
    <w:p w14:paraId="4F48EFA0" w14:textId="77777777" w:rsidR="005C7AFD" w:rsidRPr="006047EE" w:rsidRDefault="005C7AFD" w:rsidP="005C7AFD">
      <w:pPr>
        <w:contextualSpacing/>
        <w:jc w:val="both"/>
        <w:rPr>
          <w:rFonts w:ascii="Arial Narrow" w:hAnsi="Arial Narrow"/>
        </w:rPr>
      </w:pPr>
    </w:p>
    <w:p w14:paraId="7D156D6E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2. Uzbunjivanje može biti unutrašnje, spoljašnje ili uzbunjivanje javnosti.</w:t>
      </w:r>
    </w:p>
    <w:p w14:paraId="5B2D65C9" w14:textId="77777777" w:rsidR="005C7AFD" w:rsidRPr="006047EE" w:rsidRDefault="005C7AFD" w:rsidP="005C7AFD">
      <w:pPr>
        <w:contextualSpacing/>
        <w:jc w:val="both"/>
        <w:rPr>
          <w:rFonts w:ascii="Arial Narrow" w:hAnsi="Arial Narrow"/>
        </w:rPr>
      </w:pPr>
    </w:p>
    <w:p w14:paraId="3A141DDB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Pod Unutrašnjim uzbunjivanjem se smatra otkrivanje informacije poslodavcu.</w:t>
      </w:r>
    </w:p>
    <w:p w14:paraId="520B34DB" w14:textId="77777777" w:rsidR="005C7AFD" w:rsidRPr="006047EE" w:rsidRDefault="005C7AFD" w:rsidP="005C7AFD">
      <w:pPr>
        <w:contextualSpacing/>
        <w:jc w:val="both"/>
        <w:rPr>
          <w:rFonts w:ascii="Arial Narrow" w:hAnsi="Arial Narrow"/>
        </w:rPr>
      </w:pPr>
    </w:p>
    <w:p w14:paraId="30CA2F01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 xml:space="preserve">Poslodavac je dužan da, u okviru svojih ovlašćenja, preduzme mere radi otklanjanja utvrđenih nepravilnosti u vezi </w:t>
      </w:r>
    </w:p>
    <w:p w14:paraId="7F9336D4" w14:textId="12F7A6EE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 xml:space="preserve">sa informacijom, da zaštiti uzbunjivača od štetne radnje, kao i da preduzme neophodne mere radi obustavljanja štetne radnje i otklanjanja posledica štetne radnje. Poslodavac ne sme preduzimati mere u cilju otkrivanja identiteta </w:t>
      </w:r>
    </w:p>
    <w:p w14:paraId="4DAB62FE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 xml:space="preserve">anonimnog uzbunjivača. Poslodavac je dužan da odredi lice ovlašćeno za prijem informacije i vođenje postupka u </w:t>
      </w:r>
    </w:p>
    <w:p w14:paraId="43018D67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vezi sa uzbunjivanjem.</w:t>
      </w:r>
    </w:p>
    <w:p w14:paraId="3C8A53A1" w14:textId="77777777" w:rsidR="005C7AFD" w:rsidRPr="006047EE" w:rsidRDefault="005C7AFD" w:rsidP="005C7AFD">
      <w:pPr>
        <w:contextualSpacing/>
        <w:jc w:val="both"/>
        <w:rPr>
          <w:rFonts w:ascii="Arial Narrow" w:hAnsi="Arial Narrow"/>
        </w:rPr>
      </w:pPr>
    </w:p>
    <w:p w14:paraId="3D06F840" w14:textId="53FDA08C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Postupak unutrašnjeg uzbunjivanja započinje dostavljanjem informacije poslodavcu. Poslodavac je</w:t>
      </w:r>
      <w:r w:rsidR="005C7AFD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dužan</w:t>
      </w:r>
      <w:r w:rsidR="005C7AFD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da</w:t>
      </w:r>
      <w:r w:rsidR="005C7AFD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postupi</w:t>
      </w:r>
      <w:r w:rsidR="005C7AFD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po informaciji bez odlaganja, a najkasnije u roku od 15 dana od dana prijema informacije. Poslodavac j</w:t>
      </w:r>
      <w:r w:rsidR="005C7AFD" w:rsidRPr="006047EE">
        <w:rPr>
          <w:rFonts w:ascii="Arial Narrow" w:hAnsi="Arial Narrow"/>
        </w:rPr>
        <w:t>e</w:t>
      </w:r>
      <w:r w:rsidRPr="006047EE">
        <w:rPr>
          <w:rFonts w:ascii="Arial Narrow" w:hAnsi="Arial Narrow"/>
        </w:rPr>
        <w:t xml:space="preserve"> dužan da obavesti uzbunjivača o ishodu postupka po njegovom okončanju, u roku od 15 dana od dana okončanja postupka.</w:t>
      </w:r>
      <w:r w:rsidR="005C7AFD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Poslodavac je dužan da, na zahtev uzbunjivača, pruži obaveštenja uzbunjivaču o toku i radnjama preduzetim u postupku, kao i do omogući uzbunjivaču do izvrši uvid u spise predmeta i da prisustvuje radnjama u postupku.</w:t>
      </w:r>
    </w:p>
    <w:p w14:paraId="0CA24EE9" w14:textId="77777777" w:rsidR="005C7AFD" w:rsidRPr="006047EE" w:rsidRDefault="005C7AFD" w:rsidP="005C7AFD">
      <w:pPr>
        <w:contextualSpacing/>
        <w:jc w:val="both"/>
        <w:rPr>
          <w:rFonts w:ascii="Arial Narrow" w:hAnsi="Arial Narrow"/>
        </w:rPr>
      </w:pPr>
    </w:p>
    <w:p w14:paraId="4F6E9261" w14:textId="14BBEAE9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Pod</w:t>
      </w:r>
      <w:r w:rsidR="005C7AFD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Spoljašnjim</w:t>
      </w:r>
      <w:r w:rsidR="005C7AFD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uzbunjivanjem</w:t>
      </w:r>
      <w:r w:rsidR="005C7AFD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se</w:t>
      </w:r>
      <w:r w:rsidR="005C7AFD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podrazumeva otkrivanje</w:t>
      </w:r>
      <w:r w:rsidR="005C7AFD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informacije</w:t>
      </w:r>
      <w:r w:rsidR="005C7AFD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ovlašćenom</w:t>
      </w:r>
      <w:r w:rsidR="005C7AFD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organu.</w:t>
      </w:r>
    </w:p>
    <w:p w14:paraId="24FF23DE" w14:textId="77777777" w:rsidR="005C7AFD" w:rsidRPr="006047EE" w:rsidRDefault="005C7AFD" w:rsidP="005C7AFD">
      <w:pPr>
        <w:contextualSpacing/>
        <w:jc w:val="both"/>
        <w:rPr>
          <w:rFonts w:ascii="Arial Narrow" w:hAnsi="Arial Narrow"/>
        </w:rPr>
      </w:pPr>
    </w:p>
    <w:p w14:paraId="41C5869A" w14:textId="4D00FBDE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Postupak spoljašnjeg uzbunjivanja započinje dostavljanjem informacije ovlašćenom organu. Ako se uzbunjivanje odnosi</w:t>
      </w:r>
      <w:r w:rsidR="005C7AFD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na lica radno angažovana u ovlašćenom organu, uzbunj</w:t>
      </w:r>
      <w:r w:rsidR="005C7AFD" w:rsidRPr="006047EE">
        <w:rPr>
          <w:rFonts w:ascii="Arial Narrow" w:hAnsi="Arial Narrow"/>
        </w:rPr>
        <w:t>i</w:t>
      </w:r>
      <w:r w:rsidRPr="006047EE">
        <w:rPr>
          <w:rFonts w:ascii="Arial Narrow" w:hAnsi="Arial Narrow"/>
        </w:rPr>
        <w:t>vač će se obratiti rukovodiocu tog organa, a ako se</w:t>
      </w:r>
      <w:r w:rsidR="005C7AFD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uzbunjivanje odnosi na rukovodioca ovlašćenog organa, uzbunjivač će se obratiti rukovodiocu neposredno nadređenog organa. Ovlašćeni organ je dužan da postupi po dostavljenoj informaciji u roku od 15 dana od dana prijema informacije. Ako organ kome je dostavljena informacija nije nadležan za postupanje u</w:t>
      </w:r>
      <w:r w:rsidR="005C7AFD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vez</w:t>
      </w:r>
      <w:r w:rsidR="005C7AFD" w:rsidRPr="006047EE">
        <w:rPr>
          <w:rFonts w:ascii="Arial Narrow" w:hAnsi="Arial Narrow"/>
        </w:rPr>
        <w:t>i</w:t>
      </w:r>
      <w:r w:rsidRPr="006047EE">
        <w:rPr>
          <w:rFonts w:ascii="Arial Narrow" w:hAnsi="Arial Narrow"/>
        </w:rPr>
        <w:t xml:space="preserve"> sa uzbunjivanjem,</w:t>
      </w:r>
      <w:r w:rsidR="005C7AFD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 xml:space="preserve">proslediće informaciju nadležnom organu u roku od 15 dana od dana prijema i o tome istovremeno </w:t>
      </w:r>
      <w:r w:rsidRPr="006047EE">
        <w:rPr>
          <w:rFonts w:ascii="Arial Narrow" w:hAnsi="Arial Narrow"/>
        </w:rPr>
        <w:lastRenderedPageBreak/>
        <w:t>obavestiti uzbunjivača. Nadležni organ dužan je da primenjuje mere zaštite koje je uzbunjivaču obezbedio organ koji mu je</w:t>
      </w:r>
      <w:r w:rsidR="005C7AFD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obaveštenje ustupio.</w:t>
      </w:r>
    </w:p>
    <w:p w14:paraId="4734C869" w14:textId="77777777" w:rsidR="005C7AFD" w:rsidRPr="006047EE" w:rsidRDefault="005C7AFD" w:rsidP="005C7AFD">
      <w:pPr>
        <w:contextualSpacing/>
        <w:jc w:val="both"/>
        <w:rPr>
          <w:rFonts w:ascii="Arial Narrow" w:hAnsi="Arial Narrow"/>
        </w:rPr>
      </w:pPr>
    </w:p>
    <w:p w14:paraId="142C5384" w14:textId="2B133EBB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Ako uzbunjivač nije dao saglasnost da se njegov identitet otkrije, ovlašćeni organ koji je primio obaveštenje od uzbunjivača, a nije nadležan za postupanje, dužan je da pre prosleđivanja tog obaveštenja nadležnom organu prethodno zatraži saglasnost uzbunjivača, ako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zakonom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nije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propisano drugačije.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Ovlašćeni organ je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dužan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da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na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zahtev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uzbunjivača pruži obaveštenja uzbunjivaču o toku i radnjama preduzetim u postupku, kao i da omogući uzbunjivaču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da izvrši uvid u spise predmeta i da prisustvuje radnjama u postupku, u skladu sa zakonom.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Ovlašćeni organ je dužan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da obavesti uzbunjivača o ishodu postupka iz stava1. ovog člana po njegovom okončanju, u skladu sa zakonom.</w:t>
      </w:r>
    </w:p>
    <w:p w14:paraId="50644C9B" w14:textId="77777777" w:rsidR="003E61D2" w:rsidRPr="006047EE" w:rsidRDefault="003E61D2" w:rsidP="005C7AFD">
      <w:pPr>
        <w:contextualSpacing/>
        <w:jc w:val="both"/>
        <w:rPr>
          <w:rFonts w:ascii="Arial Narrow" w:hAnsi="Arial Narrow"/>
        </w:rPr>
      </w:pPr>
    </w:p>
    <w:p w14:paraId="290A62E8" w14:textId="6F87A4F0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Pod Uzbunjivanjem javnosti podrazumeva se otkrivanje informacije sredstvima javnog informisanja, putem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interneta,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na javnim skupovima ili na drugi način kojim se obaveštenje može učiniti dostupnim javnosti. Javnost se može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uzbuniti, bez prethodnog obaveštavanja poslodavca ili ovlašćenog organa u slučaju neposredne opasnosti po život,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javno zdravlje, bezbednost, životnu sredinu, od nastanka štete velikih razmera, odnosno ako postoji neposredna opasnost od uništenja dokaza. Prilikom uzbunjivanja javnosti uzbunjivač je dužan da poštuje pretpostavku nevinosti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okrivljenog, pravo na zaštitu podataka o ličnosti, kao i da ne ugrožava vođenje sudskog postupka.</w:t>
      </w:r>
    </w:p>
    <w:p w14:paraId="52AD46DE" w14:textId="77777777" w:rsidR="003E61D2" w:rsidRPr="006047EE" w:rsidRDefault="003E61D2" w:rsidP="005C7AFD">
      <w:pPr>
        <w:contextualSpacing/>
        <w:jc w:val="both"/>
        <w:rPr>
          <w:rFonts w:ascii="Arial Narrow" w:hAnsi="Arial Narrow"/>
        </w:rPr>
      </w:pPr>
    </w:p>
    <w:p w14:paraId="0E811AFA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3. Zaštita uzbunjivača i drugih lica</w:t>
      </w:r>
    </w:p>
    <w:p w14:paraId="6422882D" w14:textId="77777777" w:rsidR="003E61D2" w:rsidRPr="006047EE" w:rsidRDefault="003E61D2" w:rsidP="005C7AFD">
      <w:pPr>
        <w:contextualSpacing/>
        <w:jc w:val="both"/>
        <w:rPr>
          <w:rFonts w:ascii="Arial Narrow" w:hAnsi="Arial Narrow"/>
        </w:rPr>
      </w:pPr>
    </w:p>
    <w:p w14:paraId="09F4A13F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Uzbunjivač ima pravo na zaštitu, u skladu sa zakonom - ako izvrši uzbunjivanje kod poslodavca, ovlašćenog organa</w:t>
      </w:r>
    </w:p>
    <w:p w14:paraId="08DA98C0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 xml:space="preserve">ili javnosti na način propisan zakonom; ako otkrije informaciju u roku od jedne godine od dana saznanja za izvršenu </w:t>
      </w:r>
    </w:p>
    <w:p w14:paraId="4522AD54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radnju zbog koje vrši uzbunjivanje, a najkasnije u roku od deset godina od dana izvršenja te radnje; ako bi u trenutku</w:t>
      </w:r>
    </w:p>
    <w:p w14:paraId="30E2031A" w14:textId="1BCF0941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uzbunjivanja, na osnovu raspoloživih podataka, u istinitost informacije, poverovalo lice sa prosečnim znanjem i iskustvom kao i uzbunjivač.</w:t>
      </w:r>
    </w:p>
    <w:p w14:paraId="31972F55" w14:textId="77777777" w:rsidR="003E61D2" w:rsidRPr="006047EE" w:rsidRDefault="003E61D2" w:rsidP="005C7AFD">
      <w:pPr>
        <w:contextualSpacing/>
        <w:jc w:val="both"/>
        <w:rPr>
          <w:rFonts w:ascii="Arial Narrow" w:hAnsi="Arial Narrow"/>
        </w:rPr>
      </w:pPr>
    </w:p>
    <w:p w14:paraId="699DB730" w14:textId="0FFFA53A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Povezano lice ima pravo na zaštitu kao uzbunjivač ako učini verovatnim da je prema njemu preduzeta štetna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radnja</w:t>
      </w:r>
    </w:p>
    <w:p w14:paraId="624A7D29" w14:textId="3E8F1A6E" w:rsidR="000A6528" w:rsidRPr="006047EE" w:rsidRDefault="003E61D2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z</w:t>
      </w:r>
      <w:r w:rsidR="000A6528" w:rsidRPr="006047EE">
        <w:rPr>
          <w:rFonts w:ascii="Arial Narrow" w:hAnsi="Arial Narrow"/>
        </w:rPr>
        <w:t>bog</w:t>
      </w:r>
      <w:r w:rsidRPr="006047EE">
        <w:rPr>
          <w:rFonts w:ascii="Arial Narrow" w:hAnsi="Arial Narrow"/>
        </w:rPr>
        <w:t xml:space="preserve"> </w:t>
      </w:r>
      <w:r w:rsidR="000A6528" w:rsidRPr="006047EE">
        <w:rPr>
          <w:rFonts w:ascii="Arial Narrow" w:hAnsi="Arial Narrow"/>
        </w:rPr>
        <w:t>povezanosti sa</w:t>
      </w:r>
      <w:r w:rsidRPr="006047EE">
        <w:rPr>
          <w:rFonts w:ascii="Arial Narrow" w:hAnsi="Arial Narrow"/>
        </w:rPr>
        <w:t xml:space="preserve"> </w:t>
      </w:r>
      <w:r w:rsidR="000A6528" w:rsidRPr="006047EE">
        <w:rPr>
          <w:rFonts w:ascii="Arial Narrow" w:hAnsi="Arial Narrow"/>
        </w:rPr>
        <w:t>uzbunjivačem. Pravo</w:t>
      </w:r>
      <w:r w:rsidRPr="006047EE">
        <w:rPr>
          <w:rFonts w:ascii="Arial Narrow" w:hAnsi="Arial Narrow"/>
        </w:rPr>
        <w:t xml:space="preserve"> </w:t>
      </w:r>
      <w:r w:rsidR="000A6528" w:rsidRPr="006047EE">
        <w:rPr>
          <w:rFonts w:ascii="Arial Narrow" w:hAnsi="Arial Narrow"/>
        </w:rPr>
        <w:t>na</w:t>
      </w:r>
      <w:r w:rsidRPr="006047EE">
        <w:rPr>
          <w:rFonts w:ascii="Arial Narrow" w:hAnsi="Arial Narrow"/>
        </w:rPr>
        <w:t xml:space="preserve"> </w:t>
      </w:r>
      <w:r w:rsidR="000A6528" w:rsidRPr="006047EE">
        <w:rPr>
          <w:rFonts w:ascii="Arial Narrow" w:hAnsi="Arial Narrow"/>
        </w:rPr>
        <w:t>zaštitu</w:t>
      </w:r>
      <w:r w:rsidRPr="006047EE">
        <w:rPr>
          <w:rFonts w:ascii="Arial Narrow" w:hAnsi="Arial Narrow"/>
        </w:rPr>
        <w:t xml:space="preserve"> </w:t>
      </w:r>
      <w:r w:rsidR="000A6528" w:rsidRPr="006047EE">
        <w:rPr>
          <w:rFonts w:ascii="Arial Narrow" w:hAnsi="Arial Narrow"/>
        </w:rPr>
        <w:t>kao</w:t>
      </w:r>
      <w:r w:rsidRPr="006047EE">
        <w:rPr>
          <w:rFonts w:ascii="Arial Narrow" w:hAnsi="Arial Narrow"/>
        </w:rPr>
        <w:t xml:space="preserve"> </w:t>
      </w:r>
      <w:r w:rsidR="000A6528" w:rsidRPr="006047EE">
        <w:rPr>
          <w:rFonts w:ascii="Arial Narrow" w:hAnsi="Arial Narrow"/>
        </w:rPr>
        <w:t>uzbunjivač, ima lice koje učini verovatnim da je prema njemu</w:t>
      </w:r>
      <w:r w:rsidRPr="006047EE">
        <w:rPr>
          <w:rFonts w:ascii="Arial Narrow" w:hAnsi="Arial Narrow"/>
        </w:rPr>
        <w:t xml:space="preserve"> </w:t>
      </w:r>
      <w:r w:rsidR="000A6528" w:rsidRPr="006047EE">
        <w:rPr>
          <w:rFonts w:ascii="Arial Narrow" w:hAnsi="Arial Narrow"/>
        </w:rPr>
        <w:t>preduzeta štetna radnja, ako je lice koje je preduzelo štetnu</w:t>
      </w:r>
      <w:r w:rsidRPr="006047EE">
        <w:rPr>
          <w:rFonts w:ascii="Arial Narrow" w:hAnsi="Arial Narrow"/>
        </w:rPr>
        <w:t xml:space="preserve"> </w:t>
      </w:r>
      <w:r w:rsidR="000A6528" w:rsidRPr="006047EE">
        <w:rPr>
          <w:rFonts w:ascii="Arial Narrow" w:hAnsi="Arial Narrow"/>
        </w:rPr>
        <w:t>radnju, pogrešno smatralo da</w:t>
      </w:r>
      <w:r w:rsidRPr="006047EE">
        <w:rPr>
          <w:rFonts w:ascii="Arial Narrow" w:hAnsi="Arial Narrow"/>
        </w:rPr>
        <w:t xml:space="preserve"> </w:t>
      </w:r>
      <w:r w:rsidR="000A6528" w:rsidRPr="006047EE">
        <w:rPr>
          <w:rFonts w:ascii="Arial Narrow" w:hAnsi="Arial Narrow"/>
        </w:rPr>
        <w:t>je</w:t>
      </w:r>
      <w:r w:rsidRPr="006047EE">
        <w:rPr>
          <w:rFonts w:ascii="Arial Narrow" w:hAnsi="Arial Narrow"/>
        </w:rPr>
        <w:t xml:space="preserve"> </w:t>
      </w:r>
      <w:r w:rsidR="000A6528" w:rsidRPr="006047EE">
        <w:rPr>
          <w:rFonts w:ascii="Arial Narrow" w:hAnsi="Arial Narrow"/>
        </w:rPr>
        <w:t>to</w:t>
      </w:r>
      <w:r w:rsidRPr="006047EE">
        <w:rPr>
          <w:rFonts w:ascii="Arial Narrow" w:hAnsi="Arial Narrow"/>
        </w:rPr>
        <w:t xml:space="preserve"> </w:t>
      </w:r>
      <w:r w:rsidR="000A6528" w:rsidRPr="006047EE">
        <w:rPr>
          <w:rFonts w:ascii="Arial Narrow" w:hAnsi="Arial Narrow"/>
        </w:rPr>
        <w:t>lice</w:t>
      </w:r>
      <w:r w:rsidRPr="006047EE">
        <w:rPr>
          <w:rFonts w:ascii="Arial Narrow" w:hAnsi="Arial Narrow"/>
        </w:rPr>
        <w:t xml:space="preserve"> </w:t>
      </w:r>
      <w:r w:rsidR="000A6528" w:rsidRPr="006047EE">
        <w:rPr>
          <w:rFonts w:ascii="Arial Narrow" w:hAnsi="Arial Narrow"/>
        </w:rPr>
        <w:t>uzbunjivač, odnosno</w:t>
      </w:r>
      <w:r w:rsidRPr="006047EE">
        <w:rPr>
          <w:rFonts w:ascii="Arial Narrow" w:hAnsi="Arial Narrow"/>
        </w:rPr>
        <w:t xml:space="preserve"> </w:t>
      </w:r>
      <w:r w:rsidR="000A6528" w:rsidRPr="006047EE">
        <w:rPr>
          <w:rFonts w:ascii="Arial Narrow" w:hAnsi="Arial Narrow"/>
        </w:rPr>
        <w:t>povezano lice. Lice koje je u vršenju službene dužnosti dostavilo informaciju ima pravo na zaštitu kao uzbunjivač ako učini verovatnim da je prema njemu preduzeta štetna radnja zbog dostavljanja informacije.</w:t>
      </w:r>
    </w:p>
    <w:p w14:paraId="7AEA8A89" w14:textId="77777777" w:rsidR="003E61D2" w:rsidRPr="006047EE" w:rsidRDefault="003E61D2" w:rsidP="005C7AFD">
      <w:pPr>
        <w:contextualSpacing/>
        <w:jc w:val="both"/>
        <w:rPr>
          <w:rFonts w:ascii="Arial Narrow" w:hAnsi="Arial Narrow"/>
        </w:rPr>
      </w:pPr>
    </w:p>
    <w:p w14:paraId="33A1C547" w14:textId="12D1B0DE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Lice koje traži podatke u vezi sa informacijom, ima pravo na zaštitu kao uzbunjivač, ako učini verovatnim da je prema njemu preduzeta štetna radnja zbog traženja tih podataka.</w:t>
      </w:r>
    </w:p>
    <w:p w14:paraId="3607C431" w14:textId="77777777" w:rsidR="003E61D2" w:rsidRPr="006047EE" w:rsidRDefault="003E61D2" w:rsidP="005C7AFD">
      <w:pPr>
        <w:contextualSpacing/>
        <w:jc w:val="both"/>
        <w:rPr>
          <w:rFonts w:ascii="Arial Narrow" w:hAnsi="Arial Narrow"/>
        </w:rPr>
      </w:pPr>
    </w:p>
    <w:p w14:paraId="2661143D" w14:textId="133F6992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Lice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koje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je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ovlašćeno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za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prijem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informacije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dužno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je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da,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štiti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podatke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o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ličnosti uzbunjivača,</w:t>
      </w:r>
      <w:r w:rsidR="003E61D2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odnosno podatke na osnovu kojih se može otkriti identitet uzbunjivača, osim ako se uzbunjivač ne saglasi sa otkrivanjem tih podataka, a u skladu s</w:t>
      </w:r>
      <w:r w:rsidR="009537FB" w:rsidRPr="006047EE">
        <w:rPr>
          <w:rFonts w:ascii="Arial Narrow" w:hAnsi="Arial Narrow"/>
        </w:rPr>
        <w:t>a</w:t>
      </w:r>
      <w:r w:rsidRPr="006047EE">
        <w:rPr>
          <w:rFonts w:ascii="Arial Narrow" w:hAnsi="Arial Narrow"/>
        </w:rPr>
        <w:t xml:space="preserve"> zakonom koji uređuje zaštitu podataka o ličnosti. Svako lice koje sazna ovakve podatke, dužno je da štiti te</w:t>
      </w:r>
      <w:r w:rsidR="009537FB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 xml:space="preserve">podatke. Lice ovlašćeno za prijem informacije dužno je da prilikom prijema informacije, obavesti uzbunjivača da njegov identitet može bili otkriven nadležnom organu, ako bez otkrivanja identiteta uzbunjivača ne bi bilo moguće </w:t>
      </w:r>
    </w:p>
    <w:p w14:paraId="58FB2EB5" w14:textId="5685A67E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postupanje tog organa, kao i da ga obavesti o merama zaštite učesnika u krivičnom postupku. Ako je u toku postupka neophodno da se otkrije identitet uzbunjivača, lice ovlašćeno za prijem</w:t>
      </w:r>
      <w:r w:rsidR="009537FB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informacije dužno je da o tome, pre otkrivanja identiteta, obavesti uzbunjivača. Ovi podaci ne smeju se saopštiti licu na</w:t>
      </w:r>
      <w:r w:rsidR="009537FB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koje se ukazuje u informaciji, ako posebnim</w:t>
      </w:r>
      <w:r w:rsidR="0036306B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zakonom nije drugačije propisano.</w:t>
      </w:r>
    </w:p>
    <w:p w14:paraId="218E4AD4" w14:textId="77777777" w:rsidR="0036306B" w:rsidRPr="006047EE" w:rsidRDefault="0036306B" w:rsidP="005C7AFD">
      <w:pPr>
        <w:contextualSpacing/>
        <w:jc w:val="both"/>
        <w:rPr>
          <w:rFonts w:ascii="Arial Narrow" w:hAnsi="Arial Narrow"/>
        </w:rPr>
      </w:pPr>
    </w:p>
    <w:p w14:paraId="013E2D4E" w14:textId="77777777" w:rsidR="00AF6C44" w:rsidRPr="006047EE" w:rsidRDefault="00AF6C44" w:rsidP="005C7AFD">
      <w:pPr>
        <w:contextualSpacing/>
        <w:jc w:val="both"/>
        <w:rPr>
          <w:rFonts w:ascii="Arial Narrow" w:hAnsi="Arial Narrow"/>
        </w:rPr>
      </w:pPr>
    </w:p>
    <w:p w14:paraId="065122E7" w14:textId="77777777" w:rsidR="00AF6C44" w:rsidRPr="006047EE" w:rsidRDefault="00AF6C44" w:rsidP="005C7AFD">
      <w:pPr>
        <w:contextualSpacing/>
        <w:jc w:val="both"/>
        <w:rPr>
          <w:rFonts w:ascii="Arial Narrow" w:hAnsi="Arial Narrow"/>
        </w:rPr>
      </w:pPr>
    </w:p>
    <w:p w14:paraId="3B4291D0" w14:textId="77777777" w:rsidR="00AF6C44" w:rsidRPr="006047EE" w:rsidRDefault="00AF6C44" w:rsidP="005C7AFD">
      <w:pPr>
        <w:contextualSpacing/>
        <w:jc w:val="both"/>
        <w:rPr>
          <w:rFonts w:ascii="Arial Narrow" w:hAnsi="Arial Narrow"/>
        </w:rPr>
      </w:pPr>
    </w:p>
    <w:p w14:paraId="373BAB06" w14:textId="3B7F0F6F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lastRenderedPageBreak/>
        <w:t>4. Zabrana stavljanja uzbunjivača u nepovoljniji položaj</w:t>
      </w:r>
    </w:p>
    <w:p w14:paraId="5F3626E5" w14:textId="77777777" w:rsidR="0036306B" w:rsidRPr="006047EE" w:rsidRDefault="0036306B" w:rsidP="005C7AFD">
      <w:pPr>
        <w:contextualSpacing/>
        <w:jc w:val="both"/>
        <w:rPr>
          <w:rFonts w:ascii="Arial Narrow" w:hAnsi="Arial Narrow"/>
        </w:rPr>
      </w:pPr>
    </w:p>
    <w:p w14:paraId="6913DBCC" w14:textId="2822C194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Poslodavac ne sme činjenjem ili nečinjenjem da stavi uzbunjivača u nepovoljniji položaj u vezi sa uzbunjivanjem, a naročito ako se nepovoljniji položaj odnosi na: zapošljavanje; sticanje svojstva pripravnika ili volontera; rad van radnog odnosa; obrazovanje, osposobljavanje ili stručno usavršavanje; napredovanje na poslu, ocenjivanje, sticanje ili gubitak zvanja; disciplinske mere i kazne; uslove rada; prestanak radnog odnosa; zaradu i druge</w:t>
      </w:r>
      <w:r w:rsidR="005F0365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naknade iz</w:t>
      </w:r>
      <w:r w:rsidR="005F0365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radnog</w:t>
      </w:r>
      <w:r w:rsidR="005F0365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odnosa; učešće u</w:t>
      </w:r>
      <w:r w:rsidR="005F0365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dobiti</w:t>
      </w:r>
      <w:r w:rsidR="005F0365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poslodavca; isplatu</w:t>
      </w:r>
      <w:r w:rsidR="005F0365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 xml:space="preserve">nagrade </w:t>
      </w:r>
      <w:r w:rsidR="005F0365" w:rsidRPr="006047EE">
        <w:rPr>
          <w:rFonts w:ascii="Arial Narrow" w:hAnsi="Arial Narrow"/>
        </w:rPr>
        <w:t xml:space="preserve">i </w:t>
      </w:r>
      <w:r w:rsidRPr="006047EE">
        <w:rPr>
          <w:rFonts w:ascii="Arial Narrow" w:hAnsi="Arial Narrow"/>
        </w:rPr>
        <w:t>otpremnine; raspoređivanje ili premeštaj na drugo radno mesto;</w:t>
      </w:r>
      <w:r w:rsidR="005F0365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nepreduzimanje</w:t>
      </w:r>
      <w:r w:rsidR="005F0365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mera radi zaštite zbog uznemiravanja od</w:t>
      </w:r>
      <w:r w:rsidR="005F0365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strane drugih lica; upućivanje na obavezne zdravstvene preglede Ili upućivanje na preglede radi ocene radne</w:t>
      </w:r>
      <w:r w:rsidR="005F0365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sposobnosti.</w:t>
      </w:r>
    </w:p>
    <w:p w14:paraId="50A62E68" w14:textId="77777777" w:rsidR="005F0365" w:rsidRPr="006047EE" w:rsidRDefault="005F0365" w:rsidP="005C7AFD">
      <w:pPr>
        <w:contextualSpacing/>
        <w:jc w:val="both"/>
        <w:rPr>
          <w:rFonts w:ascii="Arial Narrow" w:hAnsi="Arial Narrow"/>
        </w:rPr>
      </w:pPr>
    </w:p>
    <w:p w14:paraId="001E08E5" w14:textId="124F3AD4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Ništave su odredbe opšteg akta poslodavca kojima se uzbunjivaču uskraćuje ili povređuje pravo, odnosno kojima se to lice stavlja u nepovoljniji položaj u vezi sa radnjama uzbunjivanja.</w:t>
      </w:r>
    </w:p>
    <w:p w14:paraId="393788C6" w14:textId="77777777" w:rsidR="005F0365" w:rsidRPr="006047EE" w:rsidRDefault="005F0365" w:rsidP="005C7AFD">
      <w:pPr>
        <w:contextualSpacing/>
        <w:jc w:val="both"/>
        <w:rPr>
          <w:rFonts w:ascii="Arial Narrow" w:hAnsi="Arial Narrow"/>
        </w:rPr>
      </w:pPr>
    </w:p>
    <w:p w14:paraId="1B47DE49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5. Pravo na naknadu štete zbog uzbunjivanja</w:t>
      </w:r>
    </w:p>
    <w:p w14:paraId="2A4313EF" w14:textId="77777777" w:rsidR="005F0365" w:rsidRPr="006047EE" w:rsidRDefault="005F0365" w:rsidP="005C7AFD">
      <w:pPr>
        <w:contextualSpacing/>
        <w:jc w:val="both"/>
        <w:rPr>
          <w:rFonts w:ascii="Arial Narrow" w:hAnsi="Arial Narrow"/>
        </w:rPr>
      </w:pPr>
    </w:p>
    <w:p w14:paraId="10CD4185" w14:textId="13AA507D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U</w:t>
      </w:r>
      <w:r w:rsidR="005F0365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slučajevima nanošenja štete zbog uzbunjivanja, uzbunjivač ima pravo na naknadu štete, u skladu sa zakonom koji uređuje obligacione odnose.</w:t>
      </w:r>
    </w:p>
    <w:p w14:paraId="7D889E34" w14:textId="77777777" w:rsidR="005F0365" w:rsidRPr="006047EE" w:rsidRDefault="005F0365" w:rsidP="005C7AFD">
      <w:pPr>
        <w:contextualSpacing/>
        <w:jc w:val="both"/>
        <w:rPr>
          <w:rFonts w:ascii="Arial Narrow" w:hAnsi="Arial Narrow"/>
        </w:rPr>
      </w:pPr>
    </w:p>
    <w:p w14:paraId="2D57332E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6. Pravo na sudsku zaštitu</w:t>
      </w:r>
    </w:p>
    <w:p w14:paraId="54FB0ADD" w14:textId="77777777" w:rsidR="005F0365" w:rsidRPr="006047EE" w:rsidRDefault="005F0365" w:rsidP="005C7AFD">
      <w:pPr>
        <w:contextualSpacing/>
        <w:jc w:val="both"/>
        <w:rPr>
          <w:rFonts w:ascii="Arial Narrow" w:hAnsi="Arial Narrow"/>
        </w:rPr>
      </w:pPr>
    </w:p>
    <w:p w14:paraId="024FD93D" w14:textId="47DB9409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Uzbunjivač prema kome je preduzeta štetna radnja u vezi sa uzbunjivanjem ima pravo na sudsku zaštitu, koja se ostvaruje podnošenjem tužbe za zaštitu u vezi sa uzbunjivanjem Višem sudu mesno nadležnom prema mestu prebivališta tužioca ili prema mestu preduzimanja štetne radnje, u roku od šest meseci od dana saznanja za preduzetu štetnu radnju, odnosno tri godine od dana kada je štetna radnja preduzeta.</w:t>
      </w:r>
    </w:p>
    <w:p w14:paraId="7F2BD6B1" w14:textId="77777777" w:rsidR="005F0365" w:rsidRPr="006047EE" w:rsidRDefault="005F0365" w:rsidP="005C7AFD">
      <w:pPr>
        <w:contextualSpacing/>
        <w:jc w:val="both"/>
        <w:rPr>
          <w:rFonts w:ascii="Arial Narrow" w:hAnsi="Arial Narrow"/>
        </w:rPr>
      </w:pPr>
    </w:p>
    <w:p w14:paraId="4C4DA871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7. Uzbunjivanje ako su u informaciji sadržani tajni podaci</w:t>
      </w:r>
    </w:p>
    <w:p w14:paraId="60B684BA" w14:textId="77777777" w:rsidR="005F0365" w:rsidRPr="006047EE" w:rsidRDefault="005F0365" w:rsidP="005C7AFD">
      <w:pPr>
        <w:contextualSpacing/>
        <w:jc w:val="both"/>
        <w:rPr>
          <w:rFonts w:ascii="Arial Narrow" w:hAnsi="Arial Narrow"/>
        </w:rPr>
      </w:pPr>
    </w:p>
    <w:p w14:paraId="747B5CFA" w14:textId="5655F813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Informacija može da sadrżi tajne podatke. Pod tajnim podacima iz stava 1. ovog člana smatraju se podaci koji su</w:t>
      </w:r>
      <w:r w:rsidR="005F0365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u</w:t>
      </w:r>
      <w:r w:rsidR="005F0365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 xml:space="preserve">skladu sa propisima o tajnosti podataka prethodno označeni kao tajni. Ako su u informaciji sadržani tajni podaci, </w:t>
      </w:r>
    </w:p>
    <w:p w14:paraId="08698E50" w14:textId="4524E69B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uzbunjivač je dužan da se prvo obrati poslodavcu, a ako se informacija odnosi na lice koje je ovlašćeno da postupa po</w:t>
      </w:r>
      <w:r w:rsidR="005F0365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informaciji, informacija se podnosi rukovodiocu poslodavca. U</w:t>
      </w:r>
      <w:r w:rsidR="005F0365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slučaju da poslodavac nije u roku od 15 dana postupio</w:t>
      </w:r>
      <w:r w:rsidR="005F0365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po informaciji u kojoj su sadržani tajni podaci, odnosno ako nije odgovorio ili nije preduzeo odgovarajuće mere iz svoje nadležnosti, uzbunjivač se može obratiti ovlašćenom organu. Izuzetno, u slučaju da se informacija odnosi na</w:t>
      </w:r>
      <w:r w:rsidR="005F0365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rukovodioca poslodavca, informacija se podnosi ovlašćenom organu. Ako su u informaciji sadržan</w:t>
      </w:r>
      <w:r w:rsidR="005F0365" w:rsidRPr="006047EE">
        <w:rPr>
          <w:rFonts w:ascii="Arial Narrow" w:hAnsi="Arial Narrow"/>
        </w:rPr>
        <w:t>i</w:t>
      </w:r>
      <w:r w:rsidRPr="006047EE">
        <w:rPr>
          <w:rFonts w:ascii="Arial Narrow" w:hAnsi="Arial Narrow"/>
        </w:rPr>
        <w:t xml:space="preserve"> tajni podaci, uzbunjivač ne može uzbuniti javnost, ako zakonom nije drugačije određeno. Ako su u informaciji sadržani tajni podaci,</w:t>
      </w:r>
      <w:r w:rsidR="00AF6C44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 xml:space="preserve">uzbunjivač </w:t>
      </w:r>
      <w:r w:rsidR="006047EE" w:rsidRPr="006047EE">
        <w:rPr>
          <w:rFonts w:ascii="Arial Narrow" w:hAnsi="Arial Narrow"/>
        </w:rPr>
        <w:t>i</w:t>
      </w:r>
      <w:r w:rsidR="00AF6C44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druga</w:t>
      </w:r>
      <w:r w:rsidR="00AF6C44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Iica su dužni da se pridržavaju opštih i posebnih mera</w:t>
      </w:r>
      <w:r w:rsidR="00AF6C44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zaštite tajnih podataka propisanih</w:t>
      </w:r>
      <w:r w:rsidR="00AF6C44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z</w:t>
      </w:r>
      <w:r w:rsidR="00AF6C44" w:rsidRPr="006047EE">
        <w:rPr>
          <w:rFonts w:ascii="Arial Narrow" w:hAnsi="Arial Narrow"/>
        </w:rPr>
        <w:t>a</w:t>
      </w:r>
      <w:r w:rsidRPr="006047EE">
        <w:rPr>
          <w:rFonts w:ascii="Arial Narrow" w:hAnsi="Arial Narrow"/>
        </w:rPr>
        <w:t>konom koji uređuje tajnost podataka.</w:t>
      </w:r>
    </w:p>
    <w:p w14:paraId="38FC30F1" w14:textId="77777777" w:rsidR="00AF6C44" w:rsidRPr="006047EE" w:rsidRDefault="00AF6C44" w:rsidP="005C7AFD">
      <w:pPr>
        <w:contextualSpacing/>
        <w:jc w:val="both"/>
        <w:rPr>
          <w:rFonts w:ascii="Arial Narrow" w:hAnsi="Arial Narrow"/>
        </w:rPr>
      </w:pPr>
    </w:p>
    <w:p w14:paraId="548549E9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8. Zabrana zloupotrebe uzbunjivanja</w:t>
      </w:r>
    </w:p>
    <w:p w14:paraId="7E54953F" w14:textId="77777777" w:rsidR="00AF6C44" w:rsidRPr="006047EE" w:rsidRDefault="00AF6C44" w:rsidP="005C7AFD">
      <w:pPr>
        <w:contextualSpacing/>
        <w:jc w:val="both"/>
        <w:rPr>
          <w:rFonts w:ascii="Arial Narrow" w:hAnsi="Arial Narrow"/>
        </w:rPr>
      </w:pPr>
    </w:p>
    <w:p w14:paraId="187147FD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Zabranjena je zloupotreba uzbunjivanja. Zloupotrebu uzbunjivanja vrši lice koje:</w:t>
      </w:r>
    </w:p>
    <w:p w14:paraId="13AC7696" w14:textId="77777777" w:rsidR="00AF6C44" w:rsidRPr="006047EE" w:rsidRDefault="00AF6C44" w:rsidP="005C7AFD">
      <w:pPr>
        <w:contextualSpacing/>
        <w:jc w:val="both"/>
        <w:rPr>
          <w:rFonts w:ascii="Arial Narrow" w:hAnsi="Arial Narrow"/>
        </w:rPr>
      </w:pPr>
    </w:p>
    <w:p w14:paraId="4CE36E4E" w14:textId="77777777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a) dostavi informaciju za koju je znalo da nije istinita;</w:t>
      </w:r>
    </w:p>
    <w:p w14:paraId="4C0B856B" w14:textId="446ECA1E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b) pored zahteva za postupanje u</w:t>
      </w:r>
      <w:r w:rsidR="00AF6C44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vezi sa</w:t>
      </w:r>
      <w:r w:rsidR="00AF6C44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informacijom</w:t>
      </w:r>
      <w:r w:rsidR="00AF6C44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kojom se vrši uzbunjivanje -</w:t>
      </w:r>
      <w:r w:rsidR="00AF6C44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traži protivpravnu korist.</w:t>
      </w:r>
    </w:p>
    <w:p w14:paraId="40FDA6D0" w14:textId="77777777" w:rsidR="00AF6C44" w:rsidRPr="006047EE" w:rsidRDefault="00AF6C44" w:rsidP="005C7AFD">
      <w:pPr>
        <w:contextualSpacing/>
        <w:jc w:val="both"/>
        <w:rPr>
          <w:rFonts w:ascii="Arial Narrow" w:hAnsi="Arial Narrow"/>
        </w:rPr>
      </w:pPr>
    </w:p>
    <w:p w14:paraId="32515D8E" w14:textId="44BE0608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9. Li</w:t>
      </w:r>
      <w:r w:rsidR="00AF6C44" w:rsidRPr="006047EE">
        <w:rPr>
          <w:rFonts w:ascii="Arial Narrow" w:hAnsi="Arial Narrow"/>
        </w:rPr>
        <w:t xml:space="preserve">ca </w:t>
      </w:r>
      <w:r w:rsidRPr="006047EE">
        <w:rPr>
          <w:rFonts w:ascii="Arial Narrow" w:hAnsi="Arial Narrow"/>
        </w:rPr>
        <w:t>koj</w:t>
      </w:r>
      <w:r w:rsidR="00AF6C44" w:rsidRPr="006047EE">
        <w:rPr>
          <w:rFonts w:ascii="Arial Narrow" w:hAnsi="Arial Narrow"/>
        </w:rPr>
        <w:t>a</w:t>
      </w:r>
      <w:r w:rsidRPr="006047EE">
        <w:rPr>
          <w:rFonts w:ascii="Arial Narrow" w:hAnsi="Arial Narrow"/>
        </w:rPr>
        <w:t xml:space="preserve"> </w:t>
      </w:r>
      <w:r w:rsidR="00AF6C44" w:rsidRPr="006047EE">
        <w:rPr>
          <w:rFonts w:ascii="Arial Narrow" w:hAnsi="Arial Narrow"/>
        </w:rPr>
        <w:t xml:space="preserve">su </w:t>
      </w:r>
      <w:r w:rsidRPr="006047EE">
        <w:rPr>
          <w:rFonts w:ascii="Arial Narrow" w:hAnsi="Arial Narrow"/>
        </w:rPr>
        <w:t>Odlukom</w:t>
      </w:r>
      <w:r w:rsidR="00AF6C44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 xml:space="preserve">Izvršnog odbora br. </w:t>
      </w:r>
      <w:r w:rsidR="00AF6C44" w:rsidRPr="006047EE">
        <w:rPr>
          <w:rFonts w:ascii="Arial Narrow" w:hAnsi="Arial Narrow"/>
        </w:rPr>
        <w:t>29260</w:t>
      </w:r>
      <w:r w:rsidRPr="006047EE">
        <w:rPr>
          <w:rFonts w:ascii="Arial Narrow" w:hAnsi="Arial Narrow"/>
        </w:rPr>
        <w:t>/20</w:t>
      </w:r>
      <w:r w:rsidR="00AF6C44" w:rsidRPr="006047EE">
        <w:rPr>
          <w:rFonts w:ascii="Arial Narrow" w:hAnsi="Arial Narrow"/>
        </w:rPr>
        <w:t>2</w:t>
      </w:r>
      <w:r w:rsidRPr="006047EE">
        <w:rPr>
          <w:rFonts w:ascii="Arial Narrow" w:hAnsi="Arial Narrow"/>
        </w:rPr>
        <w:t>5 od</w:t>
      </w:r>
      <w:r w:rsidR="00AF6C44" w:rsidRPr="006047EE">
        <w:rPr>
          <w:rFonts w:ascii="Arial Narrow" w:hAnsi="Arial Narrow"/>
        </w:rPr>
        <w:t xml:space="preserve"> 08</w:t>
      </w:r>
      <w:r w:rsidRPr="006047EE">
        <w:rPr>
          <w:rFonts w:ascii="Arial Narrow" w:hAnsi="Arial Narrow"/>
        </w:rPr>
        <w:t>.0</w:t>
      </w:r>
      <w:r w:rsidR="00AF6C44" w:rsidRPr="006047EE">
        <w:rPr>
          <w:rFonts w:ascii="Arial Narrow" w:hAnsi="Arial Narrow"/>
        </w:rPr>
        <w:t>9</w:t>
      </w:r>
      <w:r w:rsidRPr="006047EE">
        <w:rPr>
          <w:rFonts w:ascii="Arial Narrow" w:hAnsi="Arial Narrow"/>
        </w:rPr>
        <w:t>.20</w:t>
      </w:r>
      <w:r w:rsidR="00AF6C44" w:rsidRPr="006047EE">
        <w:rPr>
          <w:rFonts w:ascii="Arial Narrow" w:hAnsi="Arial Narrow"/>
        </w:rPr>
        <w:t>2</w:t>
      </w:r>
      <w:r w:rsidRPr="006047EE">
        <w:rPr>
          <w:rFonts w:ascii="Arial Narrow" w:hAnsi="Arial Narrow"/>
        </w:rPr>
        <w:t>5. godine, ovlašćen</w:t>
      </w:r>
      <w:r w:rsidR="00AF6C44" w:rsidRPr="006047EE">
        <w:rPr>
          <w:rFonts w:ascii="Arial Narrow" w:hAnsi="Arial Narrow"/>
        </w:rPr>
        <w:t>a</w:t>
      </w:r>
      <w:r w:rsidRPr="006047EE">
        <w:rPr>
          <w:rFonts w:ascii="Arial Narrow" w:hAnsi="Arial Narrow"/>
        </w:rPr>
        <w:t xml:space="preserve"> za prijem</w:t>
      </w:r>
      <w:r w:rsidR="00AF6C44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 xml:space="preserve">informacija </w:t>
      </w:r>
      <w:r w:rsidR="00AF6C44" w:rsidRPr="006047EE">
        <w:rPr>
          <w:rFonts w:ascii="Arial Narrow" w:hAnsi="Arial Narrow"/>
        </w:rPr>
        <w:t xml:space="preserve">i </w:t>
      </w:r>
      <w:r w:rsidRPr="006047EE">
        <w:rPr>
          <w:rFonts w:ascii="Arial Narrow" w:hAnsi="Arial Narrow"/>
        </w:rPr>
        <w:t>vođenje</w:t>
      </w:r>
      <w:r w:rsidR="00AF6C44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postupka</w:t>
      </w:r>
      <w:r w:rsidR="00AF6C44" w:rsidRPr="006047EE">
        <w:rPr>
          <w:rFonts w:ascii="Arial Narrow" w:hAnsi="Arial Narrow"/>
        </w:rPr>
        <w:t xml:space="preserve"> u </w:t>
      </w:r>
      <w:r w:rsidRPr="006047EE">
        <w:rPr>
          <w:rFonts w:ascii="Arial Narrow" w:hAnsi="Arial Narrow"/>
        </w:rPr>
        <w:t>vezi</w:t>
      </w:r>
      <w:r w:rsidR="00AF6C44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sa</w:t>
      </w:r>
      <w:r w:rsidR="00AF6C44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 xml:space="preserve">uzbunjivanjem </w:t>
      </w:r>
      <w:r w:rsidR="00AF6C44" w:rsidRPr="006047EE">
        <w:rPr>
          <w:rFonts w:ascii="Arial Narrow" w:hAnsi="Arial Narrow"/>
        </w:rPr>
        <w:t>su Dušan Katić i Nemanja Radovanovi</w:t>
      </w:r>
      <w:r w:rsidR="006047EE" w:rsidRPr="006047EE">
        <w:rPr>
          <w:rFonts w:ascii="Arial Narrow" w:hAnsi="Arial Narrow"/>
        </w:rPr>
        <w:t>ć</w:t>
      </w:r>
      <w:r w:rsidRPr="006047EE">
        <w:rPr>
          <w:rFonts w:ascii="Arial Narrow" w:hAnsi="Arial Narrow"/>
        </w:rPr>
        <w:t>.</w:t>
      </w:r>
    </w:p>
    <w:p w14:paraId="3B9CBB0A" w14:textId="77777777" w:rsidR="00AF6C44" w:rsidRPr="006047EE" w:rsidRDefault="00AF6C44" w:rsidP="005C7AFD">
      <w:pPr>
        <w:contextualSpacing/>
        <w:jc w:val="both"/>
        <w:rPr>
          <w:rFonts w:ascii="Arial Narrow" w:hAnsi="Arial Narrow"/>
        </w:rPr>
      </w:pPr>
    </w:p>
    <w:p w14:paraId="1B9D4521" w14:textId="77777777" w:rsidR="00AF6C44" w:rsidRPr="006047EE" w:rsidRDefault="00AF6C44" w:rsidP="005C7AFD">
      <w:pPr>
        <w:contextualSpacing/>
        <w:jc w:val="both"/>
        <w:rPr>
          <w:rFonts w:ascii="Arial Narrow" w:hAnsi="Arial Narrow"/>
        </w:rPr>
      </w:pPr>
    </w:p>
    <w:p w14:paraId="5626B13E" w14:textId="77777777" w:rsidR="00AF6C44" w:rsidRPr="006047EE" w:rsidRDefault="00AF6C44" w:rsidP="005C7AFD">
      <w:pPr>
        <w:contextualSpacing/>
        <w:jc w:val="both"/>
        <w:rPr>
          <w:rFonts w:ascii="Arial Narrow" w:hAnsi="Arial Narrow"/>
        </w:rPr>
      </w:pPr>
    </w:p>
    <w:p w14:paraId="767ED2BF" w14:textId="7B71C1DA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lastRenderedPageBreak/>
        <w:t>Izjava radno angažovanog lica o prijemu obaveštenja:</w:t>
      </w:r>
    </w:p>
    <w:p w14:paraId="035D227D" w14:textId="77777777" w:rsidR="00AF6C44" w:rsidRPr="006047EE" w:rsidRDefault="00AF6C44" w:rsidP="005C7AFD">
      <w:pPr>
        <w:contextualSpacing/>
        <w:jc w:val="both"/>
        <w:rPr>
          <w:rFonts w:ascii="Arial Narrow" w:hAnsi="Arial Narrow"/>
        </w:rPr>
      </w:pPr>
    </w:p>
    <w:p w14:paraId="7BF56027" w14:textId="01B0B07B" w:rsidR="000A6528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</w:rPr>
        <w:t>Izjavljujem da</w:t>
      </w:r>
      <w:r w:rsidR="00AF6C44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mi je</w:t>
      </w:r>
      <w:r w:rsidR="00AF6C44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 xml:space="preserve">ovo obaveštenje dostavljeno dana </w:t>
      </w:r>
      <w:r w:rsidR="00AF6C44" w:rsidRPr="006047EE">
        <w:rPr>
          <w:rFonts w:ascii="Arial Narrow" w:hAnsi="Arial Narrow"/>
        </w:rPr>
        <w:t xml:space="preserve">_______________ </w:t>
      </w:r>
      <w:r w:rsidRPr="006047EE">
        <w:rPr>
          <w:rFonts w:ascii="Arial Narrow" w:hAnsi="Arial Narrow"/>
        </w:rPr>
        <w:t>godine i da sam upoznat</w:t>
      </w:r>
      <w:r w:rsidR="00AF6C44" w:rsidRPr="006047EE">
        <w:rPr>
          <w:rFonts w:ascii="Arial Narrow" w:hAnsi="Arial Narrow"/>
        </w:rPr>
        <w:t xml:space="preserve">/a </w:t>
      </w:r>
      <w:r w:rsidRPr="006047EE">
        <w:rPr>
          <w:rFonts w:ascii="Arial Narrow" w:hAnsi="Arial Narrow"/>
        </w:rPr>
        <w:t>sa njegovom sadržinom.</w:t>
      </w:r>
    </w:p>
    <w:p w14:paraId="2713435C" w14:textId="77777777" w:rsidR="00AF6C44" w:rsidRPr="006047EE" w:rsidRDefault="00AF6C44" w:rsidP="005C7AFD">
      <w:pPr>
        <w:contextualSpacing/>
        <w:jc w:val="both"/>
        <w:rPr>
          <w:rFonts w:ascii="Arial Narrow" w:hAnsi="Arial Narrow"/>
        </w:rPr>
      </w:pPr>
    </w:p>
    <w:p w14:paraId="0F76B779" w14:textId="290BE67B" w:rsidR="000A6528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  <w:b/>
          <w:bCs/>
        </w:rPr>
        <w:t>RADNO ANGAŽOVANO LICE:</w:t>
      </w:r>
      <w:r w:rsidR="00AF6C44" w:rsidRPr="006047EE">
        <w:rPr>
          <w:rFonts w:ascii="Arial Narrow" w:hAnsi="Arial Narrow"/>
        </w:rPr>
        <w:t xml:space="preserve"> </w:t>
      </w:r>
      <w:r w:rsidRPr="006047EE">
        <w:rPr>
          <w:rFonts w:ascii="Arial Narrow" w:hAnsi="Arial Narrow"/>
        </w:rPr>
        <w:t>_______________________________</w:t>
      </w:r>
    </w:p>
    <w:p w14:paraId="0C4A60FE" w14:textId="77777777" w:rsidR="00AB05D4" w:rsidRPr="006047EE" w:rsidRDefault="00AB05D4" w:rsidP="005C7AFD">
      <w:pPr>
        <w:contextualSpacing/>
        <w:jc w:val="both"/>
        <w:rPr>
          <w:rFonts w:ascii="Arial Narrow" w:hAnsi="Arial Narrow"/>
        </w:rPr>
      </w:pPr>
    </w:p>
    <w:p w14:paraId="315C91AF" w14:textId="586967CF" w:rsidR="00934E10" w:rsidRPr="006047EE" w:rsidRDefault="000A6528" w:rsidP="005C7AFD">
      <w:pPr>
        <w:contextualSpacing/>
        <w:jc w:val="both"/>
        <w:rPr>
          <w:rFonts w:ascii="Arial Narrow" w:hAnsi="Arial Narrow"/>
        </w:rPr>
      </w:pPr>
      <w:r w:rsidRPr="006047EE">
        <w:rPr>
          <w:rFonts w:ascii="Arial Narrow" w:hAnsi="Arial Narrow"/>
          <w:b/>
          <w:bCs/>
        </w:rPr>
        <w:t>Potpis:</w:t>
      </w:r>
      <w:r w:rsidRPr="006047EE">
        <w:rPr>
          <w:rFonts w:ascii="Arial Narrow" w:hAnsi="Arial Narrow"/>
        </w:rPr>
        <w:t xml:space="preserve"> ____________________________</w:t>
      </w:r>
    </w:p>
    <w:sectPr w:rsidR="00934E10" w:rsidRPr="006047EE" w:rsidSect="005C7AFD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17" w:right="1417" w:bottom="15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E7F8D" w14:textId="77777777" w:rsidR="004C2242" w:rsidRPr="006047EE" w:rsidRDefault="004C2242" w:rsidP="00382EA1">
      <w:pPr>
        <w:spacing w:after="0" w:line="240" w:lineRule="auto"/>
      </w:pPr>
      <w:r w:rsidRPr="006047EE">
        <w:separator/>
      </w:r>
    </w:p>
  </w:endnote>
  <w:endnote w:type="continuationSeparator" w:id="0">
    <w:p w14:paraId="78911228" w14:textId="77777777" w:rsidR="004C2242" w:rsidRPr="006047EE" w:rsidRDefault="004C2242" w:rsidP="00382EA1">
      <w:pPr>
        <w:spacing w:after="0" w:line="240" w:lineRule="auto"/>
      </w:pPr>
      <w:r w:rsidRPr="006047E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7A6F" w14:textId="3759BB67" w:rsidR="00382EA1" w:rsidRPr="006047EE" w:rsidRDefault="00251BBE">
    <w:pPr>
      <w:pStyle w:val="Footer"/>
    </w:pPr>
    <w:r w:rsidRPr="006047EE">
      <w:rPr>
        <w:noProof/>
      </w:rPr>
      <w:drawing>
        <wp:anchor distT="0" distB="0" distL="114300" distR="114300" simplePos="0" relativeHeight="251664384" behindDoc="0" locked="0" layoutInCell="1" allowOverlap="1" wp14:anchorId="48D4F998" wp14:editId="1EE0D5D3">
          <wp:simplePos x="0" y="0"/>
          <wp:positionH relativeFrom="column">
            <wp:posOffset>-709600</wp:posOffset>
          </wp:positionH>
          <wp:positionV relativeFrom="paragraph">
            <wp:posOffset>-789851</wp:posOffset>
          </wp:positionV>
          <wp:extent cx="7212787" cy="1292033"/>
          <wp:effectExtent l="0" t="0" r="0" b="3810"/>
          <wp:wrapNone/>
          <wp:docPr id="12086337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787" cy="1292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1706A" w14:textId="77777777" w:rsidR="004C2242" w:rsidRPr="006047EE" w:rsidRDefault="004C2242" w:rsidP="00382EA1">
      <w:pPr>
        <w:spacing w:after="0" w:line="240" w:lineRule="auto"/>
      </w:pPr>
      <w:r w:rsidRPr="006047EE">
        <w:separator/>
      </w:r>
    </w:p>
  </w:footnote>
  <w:footnote w:type="continuationSeparator" w:id="0">
    <w:p w14:paraId="6CE61236" w14:textId="77777777" w:rsidR="004C2242" w:rsidRPr="006047EE" w:rsidRDefault="004C2242" w:rsidP="00382EA1">
      <w:pPr>
        <w:spacing w:after="0" w:line="240" w:lineRule="auto"/>
      </w:pPr>
      <w:r w:rsidRPr="006047E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4BA3" w14:textId="42DB8F77" w:rsidR="00382EA1" w:rsidRPr="006047EE" w:rsidRDefault="00AA5DC2">
    <w:pPr>
      <w:pStyle w:val="Header"/>
    </w:pPr>
    <w:r w:rsidRPr="006047EE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C1BA5BD" wp14:editId="5E3EF7A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215789236" name="Text Box 7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65BBA" w14:textId="67C9AFC1" w:rsidR="00AA5DC2" w:rsidRPr="006047EE" w:rsidRDefault="00AA5DC2" w:rsidP="00AA5DC2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6047EE">
                            <w:rPr>
                              <w:rFonts w:ascii="Calibri" w:eastAsia="Calibri" w:hAnsi="Calibri" w:cs="Calibri"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BA5B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INTERNO" style="position:absolute;margin-left:9.8pt;margin-top:0;width:61pt;height:29.5pt;z-index:2516664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0F165BBA" w14:textId="67C9AFC1" w:rsidR="00AA5DC2" w:rsidRPr="006047EE" w:rsidRDefault="00AA5DC2" w:rsidP="00AA5DC2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6047EE">
                      <w:rPr>
                        <w:rFonts w:ascii="Calibri" w:eastAsia="Calibri" w:hAnsi="Calibri" w:cs="Calibri"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EC072" w14:textId="092812FA" w:rsidR="00382EA1" w:rsidRPr="006047EE" w:rsidRDefault="00AA5DC2">
    <w:pPr>
      <w:pStyle w:val="Header"/>
    </w:pPr>
    <w:r w:rsidRPr="006047EE"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16CBF89" wp14:editId="324D4D19">
              <wp:simplePos x="898497" y="461176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711104780" name="Text Box 8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04425" w14:textId="43831F80" w:rsidR="00AA5DC2" w:rsidRPr="006047EE" w:rsidRDefault="00AA5DC2" w:rsidP="00AA5DC2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6047EE">
                            <w:rPr>
                              <w:rFonts w:ascii="Calibri" w:eastAsia="Calibri" w:hAnsi="Calibri" w:cs="Calibri"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CBF8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INTERNO" style="position:absolute;margin-left:9.8pt;margin-top:0;width:61pt;height:29.5pt;z-index:2516674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33404425" w14:textId="43831F80" w:rsidR="00AA5DC2" w:rsidRPr="006047EE" w:rsidRDefault="00AA5DC2" w:rsidP="00AA5DC2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6047EE">
                      <w:rPr>
                        <w:rFonts w:ascii="Calibri" w:eastAsia="Calibri" w:hAnsi="Calibri" w:cs="Calibri"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0EBB" w:rsidRPr="006047EE">
      <w:rPr>
        <w:noProof/>
      </w:rPr>
      <w:drawing>
        <wp:anchor distT="0" distB="0" distL="114300" distR="114300" simplePos="0" relativeHeight="251663360" behindDoc="0" locked="0" layoutInCell="1" allowOverlap="1" wp14:anchorId="2EFF6719" wp14:editId="665F0667">
          <wp:simplePos x="0" y="0"/>
          <wp:positionH relativeFrom="margin">
            <wp:posOffset>-680720</wp:posOffset>
          </wp:positionH>
          <wp:positionV relativeFrom="paragraph">
            <wp:posOffset>-274563</wp:posOffset>
          </wp:positionV>
          <wp:extent cx="2177588" cy="627714"/>
          <wp:effectExtent l="0" t="0" r="0" b="1270"/>
          <wp:wrapNone/>
          <wp:docPr id="1807052796" name="Picture 1807052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7588" cy="62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A0FD" w14:textId="7D1480A4" w:rsidR="00382EA1" w:rsidRPr="006047EE" w:rsidRDefault="00AA5DC2">
    <w:pPr>
      <w:pStyle w:val="Header"/>
    </w:pPr>
    <w:r w:rsidRPr="006047EE"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6980E50" wp14:editId="6F3436A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015997438" name="Text Box 6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04AA2" w14:textId="303BD37D" w:rsidR="00AA5DC2" w:rsidRPr="006047EE" w:rsidRDefault="00AA5DC2" w:rsidP="00AA5DC2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6047EE">
                            <w:rPr>
                              <w:rFonts w:ascii="Calibri" w:eastAsia="Calibri" w:hAnsi="Calibri" w:cs="Calibri"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80E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INTERNO" style="position:absolute;margin-left:9.8pt;margin-top:0;width:61pt;height:29.5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2004AA2" w14:textId="303BD37D" w:rsidR="00AA5DC2" w:rsidRPr="006047EE" w:rsidRDefault="00AA5DC2" w:rsidP="00AA5DC2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6047EE">
                      <w:rPr>
                        <w:rFonts w:ascii="Calibri" w:eastAsia="Calibri" w:hAnsi="Calibri" w:cs="Calibri"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A1"/>
    <w:rsid w:val="0002793E"/>
    <w:rsid w:val="00062956"/>
    <w:rsid w:val="000702B7"/>
    <w:rsid w:val="000A6528"/>
    <w:rsid w:val="000D0EBB"/>
    <w:rsid w:val="000E66B5"/>
    <w:rsid w:val="001D60C8"/>
    <w:rsid w:val="00251BBE"/>
    <w:rsid w:val="003218D9"/>
    <w:rsid w:val="00335323"/>
    <w:rsid w:val="0036306B"/>
    <w:rsid w:val="00382EA1"/>
    <w:rsid w:val="003909E1"/>
    <w:rsid w:val="003D2E2B"/>
    <w:rsid w:val="003E61D2"/>
    <w:rsid w:val="003F6675"/>
    <w:rsid w:val="0047606D"/>
    <w:rsid w:val="004779EF"/>
    <w:rsid w:val="004C2242"/>
    <w:rsid w:val="005C7AFD"/>
    <w:rsid w:val="005F0365"/>
    <w:rsid w:val="006047EE"/>
    <w:rsid w:val="006435A6"/>
    <w:rsid w:val="006527A9"/>
    <w:rsid w:val="006578D5"/>
    <w:rsid w:val="007567E8"/>
    <w:rsid w:val="00934E10"/>
    <w:rsid w:val="009537FB"/>
    <w:rsid w:val="00AA5DC2"/>
    <w:rsid w:val="00AB05D4"/>
    <w:rsid w:val="00AB66FF"/>
    <w:rsid w:val="00AF6C44"/>
    <w:rsid w:val="00B20FA1"/>
    <w:rsid w:val="00C55A40"/>
    <w:rsid w:val="00CA6276"/>
    <w:rsid w:val="00E0119A"/>
    <w:rsid w:val="00EB5BFE"/>
    <w:rsid w:val="00EC7CF7"/>
    <w:rsid w:val="00F3704D"/>
    <w:rsid w:val="00FB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BBD59B"/>
  <w15:chartTrackingRefBased/>
  <w15:docId w15:val="{D97882E1-FE4A-414F-B94B-9CE4BD5A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E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A1"/>
  </w:style>
  <w:style w:type="paragraph" w:styleId="Footer">
    <w:name w:val="footer"/>
    <w:basedOn w:val="Normal"/>
    <w:link w:val="FooterChar"/>
    <w:uiPriority w:val="99"/>
    <w:unhideWhenUsed/>
    <w:rsid w:val="00382E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Jevtić</dc:creator>
  <cp:keywords/>
  <dc:description/>
  <cp:lastModifiedBy>Nemanja Radovanović</cp:lastModifiedBy>
  <cp:revision>5</cp:revision>
  <cp:lastPrinted>2023-07-25T13:59:00Z</cp:lastPrinted>
  <dcterms:created xsi:type="dcterms:W3CDTF">2025-09-10T09:07:00Z</dcterms:created>
  <dcterms:modified xsi:type="dcterms:W3CDTF">2025-09-11T07:49:00Z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6,7829adfe,487778b4,65fd630c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2025-09-10T09:24:26Z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43d96df0-cf7e-4c74-bb1e-a3230206c855</vt:lpwstr>
  </property>
  <property fmtid="{D5CDD505-2E9C-101B-9397-08002B2CF9AE}" pid="11" name="MSIP_Label_f1a3ad2c-69b0-4505-bed7-d57c98bca4e1_ContentBits">
    <vt:lpwstr>1</vt:lpwstr>
  </property>
</Properties>
</file>